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</w:pPr>
      <w:r w:rsidRPr="00A332D8">
        <w:rPr>
          <w:rFonts w:ascii="Times New Roman" w:hAnsi="Times New Roman" w:hint="eastAsia"/>
          <w:b/>
          <w:color w:val="000000" w:themeColor="text1"/>
          <w:sz w:val="20"/>
          <w:szCs w:val="20"/>
          <w:shd w:val="clear" w:color="auto" w:fill="FFFFFF"/>
        </w:rPr>
        <w:t>TABLE</w:t>
      </w:r>
      <w:r w:rsidR="00A332D8" w:rsidRPr="00A332D8">
        <w:rPr>
          <w:rFonts w:ascii="Times New Roman" w:hAnsi="Times New Roman"/>
          <w:b/>
          <w:color w:val="000000" w:themeColor="text1"/>
          <w:sz w:val="20"/>
          <w:szCs w:val="20"/>
          <w:shd w:val="clear" w:color="auto" w:fill="FFFFFF"/>
        </w:rPr>
        <w:t>S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  <w:r w:rsidRPr="00A332D8">
        <w:rPr>
          <w:rFonts w:ascii="TimesNewRomanPS-BoldMT" w:eastAsiaTheme="minorEastAsia" w:hAnsi="TimesNewRomanPS-BoldMT" w:cs="TimesNewRomanPS-BoldMT"/>
          <w:bCs/>
          <w:color w:val="000000" w:themeColor="text1"/>
          <w:kern w:val="0"/>
          <w:sz w:val="16"/>
          <w:szCs w:val="16"/>
          <w:lang w:val="en-US"/>
        </w:rPr>
        <w:t>Morphological indexes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Table 1s. Pearson’s correlation analysis of the photosynthetic characteristics and morphological indices of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R. delavayi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under phenolic acid stress. FA – ferulic acid; CA − chlorogenic acid; PA − protocatechuic acid;</w:t>
      </w:r>
      <w:r w:rsidRPr="00A332D8">
        <w:rPr>
          <w:color w:val="000000" w:themeColor="text1"/>
          <w:sz w:val="18"/>
          <w:szCs w:val="18"/>
        </w:rPr>
        <w:t xml:space="preserve">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N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− net photosynthetic rate;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g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− stomatal conductance;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i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intercellular CO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2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concentration;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 xml:space="preserve">E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transpiration rate; WUE – water</w:t>
      </w:r>
      <w:r w:rsidRPr="00A332D8">
        <w:rPr>
          <w:rFonts w:ascii="Times New Roman" w:hAnsi="Times New Roman"/>
          <w:color w:val="000000" w:themeColor="text1"/>
          <w:kern w:val="0"/>
          <w:sz w:val="20"/>
          <w:szCs w:val="20"/>
        </w:rPr>
        <w:t>−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use efficiency (WUE= 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N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E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);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stomatal limitation value (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= 1 −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i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a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); AB </w:t>
      </w:r>
      <w:r w:rsidRPr="00A332D8">
        <w:rPr>
          <w:rFonts w:ascii="Times New Roman" w:hAnsi="Times New Roman"/>
          <w:color w:val="000000" w:themeColor="text1"/>
          <w:kern w:val="0"/>
          <w:sz w:val="20"/>
          <w:szCs w:val="20"/>
        </w:rPr>
        <w:t xml:space="preserve">−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aboveground biomass; GD </w:t>
      </w:r>
      <w:r w:rsidRPr="00A332D8">
        <w:rPr>
          <w:rFonts w:ascii="Times New Roman" w:hAnsi="Times New Roman"/>
          <w:color w:val="000000" w:themeColor="text1"/>
          <w:kern w:val="0"/>
          <w:sz w:val="20"/>
          <w:szCs w:val="20"/>
        </w:rPr>
        <w:t xml:space="preserve">−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ground diameter; PH </w:t>
      </w:r>
      <w:r w:rsidRPr="00A332D8">
        <w:rPr>
          <w:rFonts w:ascii="Times New Roman" w:hAnsi="Times New Roman"/>
          <w:color w:val="000000" w:themeColor="text1"/>
          <w:kern w:val="0"/>
          <w:sz w:val="20"/>
          <w:szCs w:val="20"/>
        </w:rPr>
        <w:t xml:space="preserve">−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plant height; RB </w:t>
      </w:r>
      <w:r w:rsidRPr="00A332D8">
        <w:rPr>
          <w:rFonts w:ascii="Times New Roman" w:hAnsi="Times New Roman"/>
          <w:color w:val="000000" w:themeColor="text1"/>
          <w:kern w:val="0"/>
          <w:sz w:val="20"/>
          <w:szCs w:val="20"/>
        </w:rPr>
        <w:t xml:space="preserve">−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root biomass.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20"/>
          <w:szCs w:val="20"/>
        </w:rPr>
      </w:pPr>
    </w:p>
    <w:tbl>
      <w:tblPr>
        <w:tblW w:w="5120" w:type="pct"/>
        <w:tblLayout w:type="fixed"/>
        <w:tblLook w:val="04A0" w:firstRow="1" w:lastRow="0" w:firstColumn="1" w:lastColumn="0" w:noHBand="0" w:noVBand="1"/>
      </w:tblPr>
      <w:tblGrid>
        <w:gridCol w:w="874"/>
        <w:gridCol w:w="1015"/>
        <w:gridCol w:w="1164"/>
        <w:gridCol w:w="1164"/>
        <w:gridCol w:w="1164"/>
        <w:gridCol w:w="1164"/>
        <w:gridCol w:w="1601"/>
        <w:gridCol w:w="581"/>
      </w:tblGrid>
      <w:tr w:rsidR="00A332D8" w:rsidRPr="00A332D8" w:rsidTr="005525C6">
        <w:trPr>
          <w:trHeight w:val="285"/>
        </w:trPr>
        <w:tc>
          <w:tcPr>
            <w:tcW w:w="500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Phenolic acids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eastAsiaTheme="minorEastAsia" w:hAnsi="Times New Roman"/>
                <w:bCs/>
                <w:color w:val="000000" w:themeColor="text1"/>
                <w:kern w:val="0"/>
                <w:sz w:val="16"/>
                <w:szCs w:val="16"/>
                <w:lang w:val="en-US"/>
              </w:rPr>
              <w:t>Morphological indexes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6"/>
                <w:szCs w:val="16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 xml:space="preserve">N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6"/>
                <w:szCs w:val="16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 xml:space="preserve">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6"/>
                <w:szCs w:val="16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]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6"/>
                <w:szCs w:val="16"/>
              </w:rPr>
              <w:t xml:space="preserve">E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]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]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6"/>
                <w:szCs w:val="16"/>
              </w:rPr>
              <w:t xml:space="preserve">　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6"/>
                <w:szCs w:val="16"/>
              </w:rPr>
              <w:t>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bscript"/>
              </w:rPr>
              <w:t>s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FA</w:t>
            </w:r>
          </w:p>
        </w:tc>
        <w:tc>
          <w:tcPr>
            <w:tcW w:w="58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PH [cm]</w:t>
            </w:r>
          </w:p>
        </w:tc>
        <w:tc>
          <w:tcPr>
            <w:tcW w:w="6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0.46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0.24</w:t>
            </w:r>
          </w:p>
        </w:tc>
        <w:tc>
          <w:tcPr>
            <w:tcW w:w="6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-0.24</w:t>
            </w:r>
          </w:p>
        </w:tc>
        <w:tc>
          <w:tcPr>
            <w:tcW w:w="66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-0.28</w:t>
            </w:r>
          </w:p>
        </w:tc>
        <w:tc>
          <w:tcPr>
            <w:tcW w:w="9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0.43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33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0.16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GD [mm]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-0.27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RB [g]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0.77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-0.54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-0.58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0.74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0.32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AB [g]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0.91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-0.45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-0.44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0.67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0.24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CA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PH [cm]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0.43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0.32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0.23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-0.28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GD [mm]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0.07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-0.15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-0.08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RB [g]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0.47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-0.02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0.02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0.03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AB [g]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0.70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0.24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-0.28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PA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PH [cm]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0.55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0.50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0.63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0.40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-0.34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GD [mm]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-0.16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-0.23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RB [g]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-0.01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-0.30</w:t>
            </w:r>
          </w:p>
        </w:tc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0.21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-0.22</w:t>
            </w:r>
          </w:p>
        </w:tc>
      </w:tr>
      <w:tr w:rsidR="00A332D8" w:rsidRPr="00A332D8" w:rsidTr="005525C6">
        <w:trPr>
          <w:trHeight w:val="270"/>
        </w:trPr>
        <w:tc>
          <w:tcPr>
            <w:tcW w:w="500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  <w:u w:val="single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AB [g]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-0.16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0.06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-0.33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0.17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-0.27</w:t>
            </w:r>
          </w:p>
        </w:tc>
      </w:tr>
    </w:tbl>
    <w:p w:rsidR="00A57137" w:rsidRPr="00A332D8" w:rsidRDefault="00A57137" w:rsidP="00A57137">
      <w:pPr>
        <w:widowControl/>
        <w:snapToGrid w:val="0"/>
        <w:spacing w:line="360" w:lineRule="auto"/>
        <w:rPr>
          <w:rFonts w:ascii="Times New Roman" w:hAnsi="Times New Roman"/>
          <w:bCs/>
          <w:color w:val="000000" w:themeColor="text1"/>
          <w:kern w:val="0"/>
          <w:sz w:val="16"/>
          <w:szCs w:val="16"/>
        </w:rPr>
      </w:pPr>
      <w:r w:rsidRPr="00A332D8">
        <w:rPr>
          <w:rFonts w:ascii="Times New Roman" w:hAnsi="Times New Roman"/>
          <w:bCs/>
          <w:color w:val="000000" w:themeColor="text1"/>
          <w:kern w:val="0"/>
          <w:sz w:val="16"/>
          <w:szCs w:val="16"/>
          <w:vertAlign w:val="superscript"/>
        </w:rPr>
        <w:t>**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lang w:val="en-US"/>
        </w:rPr>
        <w:t xml:space="preserve">Significant at the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p</w:t>
      </w:r>
      <w:r w:rsidRPr="00A332D8">
        <w:rPr>
          <w:rFonts w:ascii="Times New Roman" w:hAnsi="Times New Roman"/>
          <w:bCs/>
          <w:color w:val="000000" w:themeColor="text1"/>
          <w:kern w:val="0"/>
          <w:sz w:val="16"/>
          <w:szCs w:val="16"/>
        </w:rPr>
        <w:t xml:space="preserve"> &lt; 0.01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lang w:val="en-US"/>
        </w:rPr>
        <w:t xml:space="preserve"> level</w:t>
      </w:r>
    </w:p>
    <w:p w:rsidR="00A57137" w:rsidRPr="00A332D8" w:rsidRDefault="00A57137" w:rsidP="00A57137">
      <w:pPr>
        <w:widowControl/>
        <w:snapToGrid w:val="0"/>
        <w:spacing w:line="360" w:lineRule="auto"/>
        <w:rPr>
          <w:rFonts w:ascii="Times New Roman" w:hAnsi="Times New Roman"/>
          <w:bCs/>
          <w:color w:val="000000" w:themeColor="text1"/>
          <w:kern w:val="0"/>
          <w:sz w:val="16"/>
          <w:szCs w:val="16"/>
        </w:rPr>
      </w:pPr>
      <w:r w:rsidRPr="00A332D8">
        <w:rPr>
          <w:rFonts w:ascii="Times New Roman" w:hAnsi="Times New Roman"/>
          <w:bCs/>
          <w:color w:val="000000" w:themeColor="text1"/>
          <w:kern w:val="0"/>
          <w:sz w:val="16"/>
          <w:szCs w:val="16"/>
          <w:vertAlign w:val="superscript"/>
        </w:rPr>
        <w:t>*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lang w:val="en-US"/>
        </w:rPr>
        <w:t xml:space="preserve"> Significant at the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p</w:t>
      </w:r>
      <w:r w:rsidRPr="00A332D8">
        <w:rPr>
          <w:rFonts w:ascii="Times New Roman" w:hAnsi="Times New Roman"/>
          <w:bCs/>
          <w:color w:val="000000" w:themeColor="text1"/>
          <w:kern w:val="0"/>
          <w:sz w:val="16"/>
          <w:szCs w:val="16"/>
        </w:rPr>
        <w:t xml:space="preserve"> &lt; 0.05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lang w:val="en-US"/>
        </w:rPr>
        <w:t xml:space="preserve"> level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Table 2s. Pearson’s correlation analysis of the photosynthetic characteristics and photosynthetic pigment and stomatal characteristics of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R.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delavayi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under phenolic acid stress. FA − ferulic acid; CA − chlorogenic acid; PA − protocatechuic acid;</w:t>
      </w:r>
      <w:r w:rsidRPr="00A332D8">
        <w:rPr>
          <w:color w:val="000000" w:themeColor="text1"/>
          <w:sz w:val="18"/>
          <w:szCs w:val="18"/>
        </w:rPr>
        <w:t xml:space="preserve">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N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− net photosynthetic rate;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g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− stomatal conductance;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i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intercellular CO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2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 concentration;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 xml:space="preserve">E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transpiration rate; WUE − water</w:t>
      </w:r>
      <w:r w:rsidRPr="00A332D8">
        <w:rPr>
          <w:rFonts w:ascii="宋体" w:hAnsi="宋体" w:hint="eastAsia"/>
          <w:color w:val="000000" w:themeColor="text1"/>
          <w:kern w:val="0"/>
          <w:sz w:val="18"/>
          <w:szCs w:val="18"/>
        </w:rPr>
        <w:t>-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use efficiency (WUE = 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N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E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);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− stomatal limitation value (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= 1 −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i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  <w:vertAlign w:val="subscript"/>
        </w:rPr>
        <w:t>a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 xml:space="preserve">); Chl − chlorophyll ; Chl </w:t>
      </w:r>
      <w:r w:rsidRPr="00A332D8">
        <w:rPr>
          <w:rFonts w:ascii="Times New Roman" w:hAnsi="Times New Roman"/>
          <w:i/>
          <w:color w:val="000000" w:themeColor="text1"/>
          <w:kern w:val="0"/>
          <w:sz w:val="18"/>
          <w:szCs w:val="18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8"/>
          <w:szCs w:val="18"/>
        </w:rPr>
        <w:t>− total chlorophyll; Car − carotenoid; SF − stomatal density; SA − stomatal aperture; SOR − stomatal opening ratio; VAS − vertical axes of stomata; HAS − horizontal axes of stomata.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</w:p>
    <w:tbl>
      <w:tblPr>
        <w:tblW w:w="8782" w:type="dxa"/>
        <w:tblInd w:w="-142" w:type="dxa"/>
        <w:tblLook w:val="04A0" w:firstRow="1" w:lastRow="0" w:firstColumn="1" w:lastColumn="0" w:noHBand="0" w:noVBand="1"/>
      </w:tblPr>
      <w:tblGrid>
        <w:gridCol w:w="851"/>
        <w:gridCol w:w="1451"/>
        <w:gridCol w:w="1080"/>
        <w:gridCol w:w="1080"/>
        <w:gridCol w:w="1080"/>
        <w:gridCol w:w="1080"/>
        <w:gridCol w:w="1458"/>
        <w:gridCol w:w="702"/>
      </w:tblGrid>
      <w:tr w:rsidR="00A332D8" w:rsidRPr="00A332D8" w:rsidTr="005525C6"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phenolic acids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bCs/>
                <w:color w:val="000000" w:themeColor="text1"/>
                <w:kern w:val="0"/>
                <w:sz w:val="15"/>
                <w:szCs w:val="15"/>
              </w:rPr>
              <w:t>Indexes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N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E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　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FA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-0.66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-0.47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-0.14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-0.31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0.37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b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0.19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0.00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-0.68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-0.05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0.16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Car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0.10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SF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0.55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*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-0.54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0.68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**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0.40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0.40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-0.39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VAS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-0.18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HAS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0.47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0.60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-0.53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-0.41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SOR [%]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0.50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-0.31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CA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-0.82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-0.76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-0.68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0.60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b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-0.44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**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-0.41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-0.32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0.22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-0.62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-0.61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-0.61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0.44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Car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-0.29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0.20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0.33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SF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0.53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0.46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0.38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-0.23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-0.15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0.22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VAS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-0.16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0.05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HAS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-0.30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SOR [%]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-0.42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-0.45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-0.37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0.35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PA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-0.47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-0.52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-0.68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-0.23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0.38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b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-0.08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-0.04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0.16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Chl </w:t>
            </w:r>
            <w:r w:rsidRPr="00A332D8">
              <w:rPr>
                <w:rFonts w:ascii="Times New Roman" w:eastAsia="MingLiU" w:hAnsi="Times New Roman"/>
                <w:i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-0.48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-0.54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0.26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Car</w:t>
            </w: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[mg 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-1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(FM)]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-0.13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-0.18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0.09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SF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-0.14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0.06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0.12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0.08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SA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-0.09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-0.06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-0.20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0.05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-0.30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VAS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0.45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0.52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0.35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0.09 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0.37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-0.24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HAS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[μm]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0.32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0.26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0.24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0.23 </w:t>
            </w:r>
          </w:p>
        </w:tc>
        <w:tc>
          <w:tcPr>
            <w:tcW w:w="1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0.04 </w:t>
            </w:r>
          </w:p>
        </w:tc>
        <w:tc>
          <w:tcPr>
            <w:tcW w:w="7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-0.01 </w:t>
            </w:r>
          </w:p>
        </w:tc>
      </w:tr>
      <w:tr w:rsidR="00A332D8" w:rsidRPr="00A332D8" w:rsidTr="005525C6">
        <w:trPr>
          <w:trHeight w:val="270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left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SOR [%]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0.41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*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0.46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>0.43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0.29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0.17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eastAsia="MingLiU" w:hAnsi="Times New Roman"/>
                <w:color w:val="000000" w:themeColor="text1"/>
                <w:kern w:val="0"/>
                <w:sz w:val="15"/>
                <w:szCs w:val="15"/>
              </w:rPr>
              <w:t xml:space="preserve">-0.20 </w:t>
            </w:r>
          </w:p>
        </w:tc>
      </w:tr>
    </w:tbl>
    <w:p w:rsidR="00A57137" w:rsidRPr="004843EB" w:rsidRDefault="00A57137" w:rsidP="00A57137">
      <w:pPr>
        <w:widowControl/>
        <w:snapToGrid w:val="0"/>
        <w:spacing w:line="360" w:lineRule="auto"/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</w:pPr>
      <w:r w:rsidRPr="004843EB">
        <w:rPr>
          <w:rFonts w:ascii="Times New Roman" w:hAnsi="Times New Roman"/>
          <w:bCs/>
          <w:color w:val="000000" w:themeColor="text1"/>
          <w:kern w:val="0"/>
          <w:sz w:val="15"/>
          <w:szCs w:val="15"/>
          <w:vertAlign w:val="superscript"/>
        </w:rPr>
        <w:t>**</w:t>
      </w:r>
      <w:r w:rsidRPr="004843EB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Significant at the </w:t>
      </w:r>
      <w:r w:rsidRPr="004843EB">
        <w:rPr>
          <w:rFonts w:ascii="Times New Roman" w:hAnsi="Times New Roman"/>
          <w:i/>
          <w:color w:val="000000" w:themeColor="text1"/>
          <w:kern w:val="0"/>
          <w:sz w:val="15"/>
          <w:szCs w:val="15"/>
        </w:rPr>
        <w:t>p</w:t>
      </w:r>
      <w:r w:rsidRPr="004843EB"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  <w:t xml:space="preserve"> &lt; 0.01</w:t>
      </w:r>
      <w:r w:rsidRPr="004843EB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level</w:t>
      </w:r>
    </w:p>
    <w:p w:rsidR="00A57137" w:rsidRPr="004843EB" w:rsidRDefault="00A57137" w:rsidP="00A57137">
      <w:pPr>
        <w:widowControl/>
        <w:snapToGrid w:val="0"/>
        <w:spacing w:line="360" w:lineRule="auto"/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</w:pPr>
      <w:r w:rsidRPr="004843EB">
        <w:rPr>
          <w:rFonts w:ascii="Times New Roman" w:hAnsi="Times New Roman"/>
          <w:bCs/>
          <w:color w:val="000000" w:themeColor="text1"/>
          <w:kern w:val="0"/>
          <w:sz w:val="15"/>
          <w:szCs w:val="15"/>
          <w:vertAlign w:val="superscript"/>
        </w:rPr>
        <w:t>*</w:t>
      </w:r>
      <w:r w:rsidRPr="004843EB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Significant at the </w:t>
      </w:r>
      <w:r w:rsidRPr="004843EB">
        <w:rPr>
          <w:rFonts w:ascii="Times New Roman" w:hAnsi="Times New Roman"/>
          <w:i/>
          <w:color w:val="000000" w:themeColor="text1"/>
          <w:kern w:val="0"/>
          <w:sz w:val="15"/>
          <w:szCs w:val="15"/>
        </w:rPr>
        <w:t>p</w:t>
      </w:r>
      <w:r w:rsidRPr="004843EB"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  <w:t xml:space="preserve"> &lt; 0.05</w:t>
      </w:r>
      <w:r w:rsidRPr="004843EB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level</w:t>
      </w:r>
      <w:bookmarkStart w:id="0" w:name="_GoBack"/>
      <w:bookmarkEnd w:id="0"/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8"/>
          <w:szCs w:val="18"/>
        </w:rPr>
      </w:pP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6"/>
          <w:szCs w:val="16"/>
        </w:rPr>
      </w:pP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Table 3s. Pearson’s correlation analysis of the photosynthetic gas exchange parameters of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R.delavayi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 under phenolic acid stress. FA − ferulic acid; CA − chlorogenic acid; PA − protocatechuic acid;</w:t>
      </w:r>
      <w:r w:rsidRPr="00A332D8">
        <w:rPr>
          <w:color w:val="000000" w:themeColor="text1"/>
          <w:sz w:val="16"/>
          <w:szCs w:val="16"/>
        </w:rPr>
        <w:t xml:space="preserve">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 xml:space="preserve">N 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− net photosynthetic rate;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g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− stomatal conductance;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 xml:space="preserve">i 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− intercellular CO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>2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 concentration;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 xml:space="preserve">E 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− transpiration rate; WUE − water-use efficiency (= 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P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>N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E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);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 xml:space="preserve">s 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− stomatal limitation value (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L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>s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 xml:space="preserve">= 1 − 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>i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/</w:t>
      </w:r>
      <w:r w:rsidRPr="00A332D8">
        <w:rPr>
          <w:rFonts w:ascii="Times New Roman" w:hAnsi="Times New Roman"/>
          <w:i/>
          <w:color w:val="000000" w:themeColor="text1"/>
          <w:kern w:val="0"/>
          <w:sz w:val="16"/>
          <w:szCs w:val="16"/>
        </w:rPr>
        <w:t>C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  <w:vertAlign w:val="subscript"/>
        </w:rPr>
        <w:t>a</w:t>
      </w:r>
      <w:r w:rsidRPr="00A332D8">
        <w:rPr>
          <w:rFonts w:ascii="Times New Roman" w:hAnsi="Times New Roman"/>
          <w:color w:val="000000" w:themeColor="text1"/>
          <w:kern w:val="0"/>
          <w:sz w:val="16"/>
          <w:szCs w:val="16"/>
        </w:rPr>
        <w:t>).</w:t>
      </w:r>
    </w:p>
    <w:p w:rsidR="00A57137" w:rsidRPr="00A332D8" w:rsidRDefault="00A57137" w:rsidP="00A5713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/>
          <w:color w:val="000000" w:themeColor="text1"/>
          <w:kern w:val="0"/>
          <w:sz w:val="16"/>
          <w:szCs w:val="16"/>
        </w:rPr>
      </w:pPr>
    </w:p>
    <w:tbl>
      <w:tblPr>
        <w:tblW w:w="9356" w:type="dxa"/>
        <w:tblInd w:w="-567" w:type="dxa"/>
        <w:tblLook w:val="04A0" w:firstRow="1" w:lastRow="0" w:firstColumn="1" w:lastColumn="0" w:noHBand="0" w:noVBand="1"/>
      </w:tblPr>
      <w:tblGrid>
        <w:gridCol w:w="741"/>
        <w:gridCol w:w="2324"/>
        <w:gridCol w:w="1188"/>
        <w:gridCol w:w="1080"/>
        <w:gridCol w:w="992"/>
        <w:gridCol w:w="1134"/>
        <w:gridCol w:w="1418"/>
        <w:gridCol w:w="479"/>
      </w:tblGrid>
      <w:tr w:rsidR="00A332D8" w:rsidRPr="00A332D8" w:rsidTr="005525C6">
        <w:trPr>
          <w:trHeight w:val="285"/>
        </w:trPr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Phenolic acids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bCs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6"/>
                <w:szCs w:val="16"/>
              </w:rPr>
              <w:t>Photosynthetic</w:t>
            </w:r>
            <w:r w:rsidRPr="00A332D8">
              <w:rPr>
                <w:rFonts w:ascii="Times New Roman" w:hAnsi="Times New Roman"/>
                <w:bCs/>
                <w:color w:val="000000" w:themeColor="text1"/>
                <w:kern w:val="0"/>
                <w:sz w:val="15"/>
                <w:szCs w:val="15"/>
              </w:rPr>
              <w:t xml:space="preserve"> </w:t>
            </w:r>
          </w:p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bCs/>
                <w:color w:val="000000" w:themeColor="text1"/>
                <w:kern w:val="0"/>
                <w:sz w:val="15"/>
                <w:szCs w:val="15"/>
              </w:rPr>
              <w:t>Indexes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N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s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 xml:space="preserve">E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lang w:val="en-US"/>
              </w:rPr>
            </w:pPr>
            <w:r w:rsidRPr="00A332D8">
              <w:rPr>
                <w:rFonts w:ascii="Times New Roman" w:hAnsi="Times New Roman" w:hint="eastAsia"/>
                <w:i/>
                <w:color w:val="000000" w:themeColor="text1"/>
                <w:kern w:val="0"/>
                <w:sz w:val="15"/>
                <w:szCs w:val="15"/>
              </w:rPr>
              <w:t>L</w:t>
            </w:r>
            <w:r w:rsidRPr="00A332D8">
              <w:rPr>
                <w:rFonts w:ascii="Times New Roman" w:hAnsi="Times New Roman" w:hint="eastAsia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FA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N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-0.42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E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0.89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-0.75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-0.80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-0.86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-0.73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</w:tr>
      <w:tr w:rsidR="00A332D8" w:rsidRPr="00A332D8" w:rsidTr="005525C6">
        <w:trPr>
          <w:trHeight w:val="285"/>
        </w:trPr>
        <w:tc>
          <w:tcPr>
            <w:tcW w:w="7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CA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N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0.49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0.69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0.75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E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0.74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0.91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-0.53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-0.64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-0.56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-0.60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-0.91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-0.84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0.58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PA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P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N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 xml:space="preserve">-2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g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0.50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C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 xml:space="preserve">i 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mol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0.72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E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[mol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 m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 xml:space="preserve"> s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0.55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0.46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0.64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eastAsia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WUE [μmol (CO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) mmol (H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2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O)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-1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]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A332D8" w:rsidRPr="00A332D8" w:rsidTr="005525C6">
        <w:trPr>
          <w:trHeight w:val="270"/>
        </w:trPr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i/>
                <w:color w:val="000000" w:themeColor="text1"/>
                <w:kern w:val="0"/>
                <w:sz w:val="15"/>
                <w:szCs w:val="15"/>
              </w:rPr>
              <w:t>L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bscript"/>
              </w:rPr>
              <w:t>s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-0.37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-0.60</w:t>
            </w: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-0.26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7137" w:rsidRPr="00A332D8" w:rsidRDefault="00A57137" w:rsidP="005525C6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</w:pPr>
            <w:r w:rsidRPr="00A332D8">
              <w:rPr>
                <w:rFonts w:ascii="Times New Roman" w:hAnsi="Times New Roman"/>
                <w:color w:val="000000" w:themeColor="text1"/>
                <w:kern w:val="0"/>
                <w:sz w:val="15"/>
                <w:szCs w:val="15"/>
              </w:rPr>
              <w:t>1.00</w:t>
            </w:r>
          </w:p>
        </w:tc>
      </w:tr>
    </w:tbl>
    <w:p w:rsidR="00A57137" w:rsidRPr="00A332D8" w:rsidRDefault="00A57137" w:rsidP="00A57137">
      <w:pPr>
        <w:widowControl/>
        <w:snapToGrid w:val="0"/>
        <w:spacing w:line="360" w:lineRule="auto"/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</w:pPr>
      <w:r w:rsidRPr="00A332D8">
        <w:rPr>
          <w:rFonts w:ascii="Times New Roman" w:hAnsi="Times New Roman"/>
          <w:bCs/>
          <w:color w:val="000000" w:themeColor="text1"/>
          <w:kern w:val="0"/>
          <w:sz w:val="15"/>
          <w:szCs w:val="15"/>
          <w:vertAlign w:val="superscript"/>
        </w:rPr>
        <w:t>**</w:t>
      </w:r>
      <w:r w:rsidRPr="00A332D8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Significant at the </w:t>
      </w:r>
      <w:r w:rsidRPr="00A332D8">
        <w:rPr>
          <w:rFonts w:ascii="Times New Roman" w:hAnsi="Times New Roman"/>
          <w:i/>
          <w:color w:val="000000" w:themeColor="text1"/>
          <w:kern w:val="0"/>
          <w:sz w:val="15"/>
          <w:szCs w:val="15"/>
        </w:rPr>
        <w:t>p</w:t>
      </w:r>
      <w:r w:rsidRPr="00A332D8"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  <w:t xml:space="preserve"> &lt; 0.01</w:t>
      </w:r>
      <w:r w:rsidRPr="00A332D8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level</w:t>
      </w:r>
    </w:p>
    <w:p w:rsidR="00035307" w:rsidRPr="00A332D8" w:rsidRDefault="00A57137" w:rsidP="00A332D8">
      <w:pPr>
        <w:widowControl/>
        <w:snapToGrid w:val="0"/>
        <w:spacing w:line="360" w:lineRule="auto"/>
        <w:rPr>
          <w:rFonts w:ascii="Times New Roman" w:hAnsi="Times New Roman" w:hint="eastAsia"/>
          <w:bCs/>
          <w:color w:val="000000" w:themeColor="text1"/>
          <w:kern w:val="0"/>
          <w:sz w:val="15"/>
          <w:szCs w:val="15"/>
        </w:rPr>
      </w:pPr>
      <w:r w:rsidRPr="00A332D8">
        <w:rPr>
          <w:rFonts w:ascii="Times New Roman" w:hAnsi="Times New Roman"/>
          <w:bCs/>
          <w:color w:val="000000" w:themeColor="text1"/>
          <w:kern w:val="0"/>
          <w:sz w:val="15"/>
          <w:szCs w:val="15"/>
          <w:vertAlign w:val="superscript"/>
        </w:rPr>
        <w:t>*</w:t>
      </w:r>
      <w:r w:rsidRPr="00A332D8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Significant at the </w:t>
      </w:r>
      <w:r w:rsidRPr="00A332D8">
        <w:rPr>
          <w:rFonts w:ascii="Times New Roman" w:hAnsi="Times New Roman"/>
          <w:i/>
          <w:color w:val="000000" w:themeColor="text1"/>
          <w:kern w:val="0"/>
          <w:sz w:val="15"/>
          <w:szCs w:val="15"/>
        </w:rPr>
        <w:t>p</w:t>
      </w:r>
      <w:r w:rsidRPr="00A332D8">
        <w:rPr>
          <w:rFonts w:ascii="Times New Roman" w:hAnsi="Times New Roman"/>
          <w:bCs/>
          <w:color w:val="000000" w:themeColor="text1"/>
          <w:kern w:val="0"/>
          <w:sz w:val="15"/>
          <w:szCs w:val="15"/>
        </w:rPr>
        <w:t xml:space="preserve"> &lt; 0.05</w:t>
      </w:r>
      <w:r w:rsidRPr="00A332D8">
        <w:rPr>
          <w:rFonts w:ascii="AdvPTimes" w:hAnsi="AdvPTimes" w:cs="AdvPTimes"/>
          <w:color w:val="000000" w:themeColor="text1"/>
          <w:kern w:val="0"/>
          <w:sz w:val="15"/>
          <w:szCs w:val="15"/>
          <w:lang w:val="en-US"/>
        </w:rPr>
        <w:t xml:space="preserve"> level</w:t>
      </w:r>
    </w:p>
    <w:sectPr w:rsidR="00035307" w:rsidRPr="00A3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3BE" w:rsidRDefault="007733BE" w:rsidP="00A57137">
      <w:r>
        <w:separator/>
      </w:r>
    </w:p>
  </w:endnote>
  <w:endnote w:type="continuationSeparator" w:id="0">
    <w:p w:rsidR="007733BE" w:rsidRDefault="007733BE" w:rsidP="00A5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Microsoft JhengHei"/>
    <w:panose1 w:val="02010609000101010101"/>
    <w:charset w:val="88"/>
    <w:family w:val="modern"/>
    <w:pitch w:val="fixed"/>
    <w:sig w:usb0="00000000" w:usb1="28CFFCFA" w:usb2="00000016" w:usb3="00000000" w:csb0="00100001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3BE" w:rsidRDefault="007733BE" w:rsidP="00A57137">
      <w:r>
        <w:separator/>
      </w:r>
    </w:p>
  </w:footnote>
  <w:footnote w:type="continuationSeparator" w:id="0">
    <w:p w:rsidR="007733BE" w:rsidRDefault="007733BE" w:rsidP="00A57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00A91"/>
    <w:multiLevelType w:val="hybridMultilevel"/>
    <w:tmpl w:val="25B8842C"/>
    <w:lvl w:ilvl="0" w:tplc="BEFEA8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b/>
        <w:color w:val="0563C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5A"/>
    <w:rsid w:val="00035307"/>
    <w:rsid w:val="004843EB"/>
    <w:rsid w:val="007733BE"/>
    <w:rsid w:val="00792F5A"/>
    <w:rsid w:val="00A332D8"/>
    <w:rsid w:val="00A57137"/>
    <w:rsid w:val="00E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EE084"/>
  <w15:docId w15:val="{010DFB8B-3F66-48D7-B81E-39CEE83D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137"/>
    <w:pPr>
      <w:widowControl w:val="0"/>
      <w:jc w:val="both"/>
    </w:pPr>
    <w:rPr>
      <w:rFonts w:ascii="Calibri" w:eastAsia="宋体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7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71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7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7137"/>
    <w:rPr>
      <w:sz w:val="18"/>
      <w:szCs w:val="18"/>
    </w:rPr>
  </w:style>
  <w:style w:type="character" w:styleId="a7">
    <w:name w:val="Hyperlink"/>
    <w:uiPriority w:val="99"/>
    <w:rsid w:val="00A57137"/>
    <w:rPr>
      <w:rFonts w:cs="Times New Roman"/>
      <w:color w:val="0563C1"/>
      <w:u w:val="single"/>
    </w:rPr>
  </w:style>
  <w:style w:type="paragraph" w:customStyle="1" w:styleId="MDPI13authornames">
    <w:name w:val="MDPI_1.3_authornames"/>
    <w:basedOn w:val="a"/>
    <w:next w:val="a"/>
    <w:rsid w:val="00A57137"/>
    <w:pPr>
      <w:adjustRightInd w:val="0"/>
      <w:snapToGrid w:val="0"/>
      <w:spacing w:before="100" w:beforeAutospacing="1" w:after="120" w:line="260" w:lineRule="atLeast"/>
      <w:jc w:val="left"/>
    </w:pPr>
    <w:rPr>
      <w:rFonts w:ascii="Palatino Linotype" w:eastAsia="Times New Roman" w:hAnsi="Palatino Linotype"/>
      <w:b/>
      <w:bCs/>
      <w:szCs w:val="21"/>
      <w:lang w:val="en-US"/>
    </w:rPr>
  </w:style>
  <w:style w:type="paragraph" w:customStyle="1" w:styleId="MDPI14history">
    <w:name w:val="MDPI_1.4_history"/>
    <w:basedOn w:val="a"/>
    <w:next w:val="a"/>
    <w:rsid w:val="00A57137"/>
    <w:pPr>
      <w:adjustRightInd w:val="0"/>
      <w:snapToGrid w:val="0"/>
      <w:spacing w:before="120" w:after="100" w:afterAutospacing="1" w:line="240" w:lineRule="atLeast"/>
      <w:ind w:left="113"/>
      <w:jc w:val="left"/>
    </w:pPr>
    <w:rPr>
      <w:rFonts w:ascii="Palatino Linotype" w:eastAsia="Times New Roman" w:hAnsi="Palatino Linotype"/>
      <w:sz w:val="18"/>
      <w:szCs w:val="18"/>
      <w:lang w:val="en-US"/>
    </w:rPr>
  </w:style>
  <w:style w:type="paragraph" w:customStyle="1" w:styleId="MDPI16affiliation">
    <w:name w:val="MDPI_1.6_affiliation"/>
    <w:basedOn w:val="a"/>
    <w:rsid w:val="00A57137"/>
    <w:pPr>
      <w:adjustRightInd w:val="0"/>
      <w:snapToGrid w:val="0"/>
      <w:spacing w:after="100" w:afterAutospacing="1" w:line="240" w:lineRule="atLeast"/>
      <w:ind w:left="311" w:hanging="198"/>
      <w:jc w:val="left"/>
    </w:pPr>
    <w:rPr>
      <w:rFonts w:ascii="Palatino Linotype" w:eastAsia="Times New Roman" w:hAnsi="Palatino Linotype"/>
      <w:sz w:val="18"/>
      <w:szCs w:val="18"/>
      <w:lang w:val="en-US"/>
    </w:rPr>
  </w:style>
  <w:style w:type="paragraph" w:styleId="a8">
    <w:name w:val="Normal (Web)"/>
    <w:basedOn w:val="a"/>
    <w:uiPriority w:val="99"/>
    <w:rsid w:val="00A571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批注框文本 字符"/>
    <w:basedOn w:val="a0"/>
    <w:link w:val="aa"/>
    <w:uiPriority w:val="99"/>
    <w:semiHidden/>
    <w:rsid w:val="00A57137"/>
    <w:rPr>
      <w:rFonts w:ascii="Calibri" w:eastAsia="宋体" w:hAnsi="Calibri" w:cs="Times New Roman"/>
      <w:sz w:val="18"/>
      <w:szCs w:val="18"/>
      <w:lang w:val="en-GB"/>
    </w:rPr>
  </w:style>
  <w:style w:type="paragraph" w:styleId="aa">
    <w:name w:val="Balloon Text"/>
    <w:basedOn w:val="a"/>
    <w:link w:val="a9"/>
    <w:uiPriority w:val="99"/>
    <w:semiHidden/>
    <w:rsid w:val="00A57137"/>
    <w:rPr>
      <w:sz w:val="18"/>
      <w:szCs w:val="18"/>
    </w:rPr>
  </w:style>
  <w:style w:type="character" w:customStyle="1" w:styleId="Char1">
    <w:name w:val="批注框文本 Char1"/>
    <w:basedOn w:val="a0"/>
    <w:uiPriority w:val="99"/>
    <w:semiHidden/>
    <w:rsid w:val="00A57137"/>
    <w:rPr>
      <w:rFonts w:ascii="Calibri" w:eastAsia="宋体" w:hAnsi="Calibri" w:cs="Times New Roman"/>
      <w:sz w:val="18"/>
      <w:szCs w:val="18"/>
      <w:lang w:val="en-GB"/>
    </w:rPr>
  </w:style>
  <w:style w:type="character" w:styleId="ab">
    <w:name w:val="Emphasis"/>
    <w:uiPriority w:val="99"/>
    <w:qFormat/>
    <w:rsid w:val="00A57137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A57137"/>
    <w:rPr>
      <w:rFonts w:cs="Times New Roman"/>
    </w:rPr>
  </w:style>
  <w:style w:type="character" w:styleId="ac">
    <w:name w:val="Strong"/>
    <w:uiPriority w:val="99"/>
    <w:qFormat/>
    <w:rsid w:val="00A57137"/>
    <w:rPr>
      <w:rFonts w:cs="Times New Roman"/>
      <w:b/>
      <w:bCs/>
    </w:rPr>
  </w:style>
  <w:style w:type="paragraph" w:styleId="ad">
    <w:name w:val="List Paragraph"/>
    <w:basedOn w:val="a"/>
    <w:uiPriority w:val="99"/>
    <w:qFormat/>
    <w:rsid w:val="00A57137"/>
    <w:pPr>
      <w:ind w:firstLineChars="200" w:firstLine="420"/>
    </w:pPr>
  </w:style>
  <w:style w:type="paragraph" w:styleId="ae">
    <w:name w:val="Date"/>
    <w:basedOn w:val="a"/>
    <w:next w:val="a"/>
    <w:link w:val="af"/>
    <w:uiPriority w:val="99"/>
    <w:semiHidden/>
    <w:rsid w:val="00A57137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A57137"/>
    <w:rPr>
      <w:rFonts w:ascii="Calibri" w:eastAsia="宋体" w:hAnsi="Calibri" w:cs="Times New Roman"/>
      <w:lang w:val="en-GB"/>
    </w:rPr>
  </w:style>
  <w:style w:type="paragraph" w:styleId="af0">
    <w:name w:val="annotation text"/>
    <w:basedOn w:val="a"/>
    <w:link w:val="af1"/>
    <w:uiPriority w:val="99"/>
    <w:unhideWhenUsed/>
    <w:qFormat/>
    <w:rsid w:val="00A57137"/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qFormat/>
    <w:rsid w:val="00A57137"/>
    <w:rPr>
      <w:rFonts w:ascii="Calibri" w:eastAsia="宋体" w:hAnsi="Calibri" w:cs="Times New Roman"/>
      <w:sz w:val="20"/>
      <w:szCs w:val="20"/>
      <w:lang w:val="en-GB"/>
    </w:rPr>
  </w:style>
  <w:style w:type="paragraph" w:styleId="af2">
    <w:name w:val="footnote text"/>
    <w:basedOn w:val="a"/>
    <w:link w:val="af3"/>
    <w:uiPriority w:val="99"/>
    <w:semiHidden/>
    <w:unhideWhenUsed/>
    <w:rsid w:val="00A57137"/>
    <w:pPr>
      <w:snapToGrid w:val="0"/>
      <w:jc w:val="left"/>
    </w:pPr>
    <w:rPr>
      <w:sz w:val="18"/>
      <w:szCs w:val="18"/>
    </w:rPr>
  </w:style>
  <w:style w:type="character" w:customStyle="1" w:styleId="af3">
    <w:name w:val="脚注文本 字符"/>
    <w:basedOn w:val="a0"/>
    <w:link w:val="af2"/>
    <w:uiPriority w:val="99"/>
    <w:semiHidden/>
    <w:rsid w:val="00A57137"/>
    <w:rPr>
      <w:rFonts w:ascii="Calibri" w:eastAsia="宋体" w:hAnsi="Calibri" w:cs="Times New Roman"/>
      <w:sz w:val="18"/>
      <w:szCs w:val="18"/>
      <w:lang w:val="en-GB"/>
    </w:rPr>
  </w:style>
  <w:style w:type="character" w:styleId="af4">
    <w:name w:val="footnote reference"/>
    <w:basedOn w:val="a0"/>
    <w:uiPriority w:val="99"/>
    <w:semiHidden/>
    <w:unhideWhenUsed/>
    <w:rsid w:val="00A57137"/>
    <w:rPr>
      <w:vertAlign w:val="superscript"/>
    </w:rPr>
  </w:style>
  <w:style w:type="character" w:customStyle="1" w:styleId="af5">
    <w:name w:val="批注主题 字符"/>
    <w:basedOn w:val="af1"/>
    <w:link w:val="af6"/>
    <w:uiPriority w:val="99"/>
    <w:semiHidden/>
    <w:rsid w:val="00A57137"/>
    <w:rPr>
      <w:rFonts w:ascii="Calibri" w:eastAsia="宋体" w:hAnsi="Calibri" w:cs="Times New Roman"/>
      <w:b/>
      <w:bCs/>
      <w:sz w:val="20"/>
      <w:szCs w:val="20"/>
      <w:lang w:val="en-GB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A57137"/>
    <w:rPr>
      <w:b/>
      <w:bCs/>
    </w:rPr>
  </w:style>
  <w:style w:type="character" w:customStyle="1" w:styleId="Char10">
    <w:name w:val="批注主题 Char1"/>
    <w:basedOn w:val="af1"/>
    <w:uiPriority w:val="99"/>
    <w:semiHidden/>
    <w:rsid w:val="00A57137"/>
    <w:rPr>
      <w:rFonts w:ascii="Calibri" w:eastAsia="宋体" w:hAnsi="Calibri" w:cs="Times New Roman"/>
      <w:b/>
      <w:bCs/>
      <w:sz w:val="20"/>
      <w:szCs w:val="20"/>
      <w:lang w:val="en-GB"/>
    </w:rPr>
  </w:style>
  <w:style w:type="paragraph" w:customStyle="1" w:styleId="MDPI31text">
    <w:name w:val="MDPI_3.1_text"/>
    <w:basedOn w:val="a"/>
    <w:rsid w:val="00A57137"/>
    <w:pPr>
      <w:adjustRightInd w:val="0"/>
      <w:snapToGrid w:val="0"/>
      <w:spacing w:line="260" w:lineRule="atLeast"/>
      <w:ind w:firstLine="425"/>
    </w:pPr>
    <w:rPr>
      <w:rFonts w:ascii="Palatino Linotype" w:eastAsia="Times New Roman" w:hAnsi="Palatino Linotype"/>
      <w:szCs w:val="21"/>
      <w:lang w:val="en-US"/>
    </w:rPr>
  </w:style>
  <w:style w:type="paragraph" w:customStyle="1" w:styleId="publishtext">
    <w:name w:val="publish_text"/>
    <w:basedOn w:val="a"/>
    <w:rsid w:val="00A57137"/>
    <w:pPr>
      <w:widowControl/>
      <w:jc w:val="left"/>
    </w:pPr>
    <w:rPr>
      <w:rFonts w:ascii="宋体" w:hAnsi="宋体" w:cs="宋体"/>
      <w:kern w:val="0"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A57137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4438</Characters>
  <Application>Microsoft Office Word</Application>
  <DocSecurity>0</DocSecurity>
  <Lines>36</Lines>
  <Paragraphs>10</Paragraphs>
  <ScaleCrop>false</ScaleCrop>
  <Company>微软中国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user</cp:lastModifiedBy>
  <cp:revision>4</cp:revision>
  <dcterms:created xsi:type="dcterms:W3CDTF">2018-05-27T04:00:00Z</dcterms:created>
  <dcterms:modified xsi:type="dcterms:W3CDTF">2019-05-17T05:44:00Z</dcterms:modified>
</cp:coreProperties>
</file>