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C98F" w14:textId="48B58AE8" w:rsidR="0042421C" w:rsidRPr="003E751A" w:rsidRDefault="0042421C" w:rsidP="00DA6DE6">
      <w:pPr>
        <w:contextualSpacing/>
        <w:rPr>
          <w:rFonts w:ascii="Times New Roman" w:hAnsi="Times New Roman" w:cs="Times New Roman"/>
          <w:sz w:val="20"/>
          <w:szCs w:val="20"/>
        </w:rPr>
      </w:pPr>
      <w:bookmarkStart w:id="0" w:name="_Hlk94230033"/>
      <w:r w:rsidRPr="003E751A">
        <w:rPr>
          <w:rFonts w:ascii="Times New Roman" w:eastAsia="SimSun" w:hAnsi="Times New Roman" w:cs="Times New Roman"/>
          <w:sz w:val="20"/>
          <w:szCs w:val="20"/>
        </w:rPr>
        <w:t>Table 1S. The effect of N level on yield and its components of wheat</w:t>
      </w:r>
      <w:r w:rsidRPr="003E751A">
        <w:rPr>
          <w:rFonts w:ascii="Times New Roman" w:hAnsi="Times New Roman" w:cs="Times New Roman"/>
          <w:sz w:val="20"/>
          <w:szCs w:val="20"/>
        </w:rPr>
        <w:t xml:space="preserve">. Data are the means of three replicates. </w:t>
      </w:r>
      <w:r w:rsidRPr="003E751A">
        <w:rPr>
          <w:rFonts w:ascii="Times New Roman" w:hAnsi="Times New Roman" w:cs="Times New Roman"/>
          <w:i/>
          <w:iCs/>
          <w:sz w:val="20"/>
          <w:szCs w:val="20"/>
        </w:rPr>
        <w:t>Lowercase letters</w:t>
      </w:r>
      <w:r w:rsidRPr="003E751A">
        <w:rPr>
          <w:rFonts w:ascii="Times New Roman" w:hAnsi="Times New Roman" w:cs="Times New Roman"/>
          <w:sz w:val="20"/>
          <w:szCs w:val="20"/>
        </w:rPr>
        <w:t xml:space="preserve"> following the data within the same row refer to significant difference (</w:t>
      </w:r>
      <w:r w:rsidRPr="003E751A">
        <w:rPr>
          <w:rFonts w:ascii="Times New Roman" w:hAnsi="Times New Roman" w:cs="Times New Roman"/>
          <w:i/>
          <w:sz w:val="20"/>
          <w:szCs w:val="20"/>
        </w:rPr>
        <w:t>p</w:t>
      </w:r>
      <w:r w:rsidR="003E751A">
        <w:rPr>
          <w:rFonts w:ascii="Times New Roman" w:hAnsi="Times New Roman" w:cs="Times New Roman"/>
          <w:sz w:val="20"/>
          <w:szCs w:val="20"/>
        </w:rPr>
        <w:t>≤</w:t>
      </w:r>
      <w:r w:rsidRPr="003E751A">
        <w:rPr>
          <w:rFonts w:ascii="Times New Roman" w:hAnsi="Times New Roman" w:cs="Times New Roman"/>
          <w:sz w:val="20"/>
          <w:szCs w:val="20"/>
        </w:rPr>
        <w:t>0.05)</w:t>
      </w:r>
      <w:r w:rsidR="005259B8">
        <w:rPr>
          <w:rFonts w:ascii="Times New Roman" w:hAnsi="Times New Roman" w:cs="Times New Roman"/>
          <w:sz w:val="20"/>
          <w:szCs w:val="20"/>
        </w:rPr>
        <w:t>,</w:t>
      </w:r>
      <w:r w:rsidRPr="003E751A">
        <w:rPr>
          <w:rFonts w:ascii="Times New Roman" w:hAnsi="Times New Roman" w:cs="Times New Roman"/>
          <w:sz w:val="20"/>
          <w:szCs w:val="20"/>
        </w:rPr>
        <w:t xml:space="preserve"> compared </w:t>
      </w:r>
      <w:r w:rsidRPr="003E751A">
        <w:rPr>
          <w:rFonts w:ascii="Times New Roman" w:hAnsi="Times New Roman" w:cs="Times New Roman"/>
          <w:i/>
          <w:iCs/>
          <w:sz w:val="20"/>
          <w:szCs w:val="20"/>
        </w:rPr>
        <w:t>via Duncan</w:t>
      </w:r>
      <w:r w:rsidR="003E751A">
        <w:rPr>
          <w:rFonts w:ascii="Times New Roman" w:hAnsi="Times New Roman" w:cs="Times New Roman"/>
          <w:sz w:val="20"/>
          <w:szCs w:val="20"/>
        </w:rPr>
        <w:t>'</w:t>
      </w:r>
      <w:r w:rsidRPr="003E751A">
        <w:rPr>
          <w:rFonts w:ascii="Times New Roman" w:hAnsi="Times New Roman" w:cs="Times New Roman"/>
          <w:sz w:val="20"/>
          <w:szCs w:val="20"/>
        </w:rPr>
        <w:t>s multiple range tests.</w:t>
      </w:r>
      <w:r w:rsidR="003E751A" w:rsidRPr="003E751A">
        <w:rPr>
          <w:rFonts w:ascii="Times New Roman" w:hAnsi="Times New Roman" w:cs="Times New Roman"/>
          <w:sz w:val="20"/>
          <w:szCs w:val="20"/>
        </w:rPr>
        <w:t xml:space="preserve"> </w:t>
      </w:r>
      <w:r w:rsidR="003E751A" w:rsidRPr="003E751A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3E751A">
        <w:rPr>
          <w:rFonts w:ascii="Times New Roman" w:hAnsi="Times New Roman" w:cs="Times New Roman"/>
          <w:color w:val="000000"/>
          <w:sz w:val="20"/>
          <w:szCs w:val="20"/>
        </w:rPr>
        <w:t>he table data and measurement method of wheat yield related indexes were quoted from the article of Zheng</w:t>
      </w:r>
      <w:r w:rsidR="003E751A" w:rsidRPr="003E751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E751A" w:rsidRPr="003E751A">
        <w:rPr>
          <w:rFonts w:ascii="Times New Roman" w:hAnsi="Times New Roman" w:cs="Times New Roman"/>
          <w:i/>
          <w:iCs/>
          <w:color w:val="000000"/>
          <w:sz w:val="20"/>
          <w:szCs w:val="20"/>
        </w:rPr>
        <w:t>et al.</w:t>
      </w:r>
      <w:r w:rsidR="003E751A" w:rsidRPr="003E751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E751A">
        <w:rPr>
          <w:rFonts w:ascii="Times New Roman" w:hAnsi="Times New Roman" w:cs="Times New Roman"/>
          <w:color w:val="000000"/>
          <w:sz w:val="20"/>
          <w:szCs w:val="20"/>
        </w:rPr>
        <w:t>(2021).</w:t>
      </w:r>
    </w:p>
    <w:p w14:paraId="55DA8449" w14:textId="77777777" w:rsidR="0042421C" w:rsidRPr="003E751A" w:rsidRDefault="0042421C" w:rsidP="00DA6DE6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42421C" w:rsidRPr="003E751A" w14:paraId="7AA947E2" w14:textId="77777777" w:rsidTr="00F62329">
        <w:trPr>
          <w:trHeight w:val="20"/>
        </w:trPr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208489A" w14:textId="77777777" w:rsidR="0042421C" w:rsidRPr="003E751A" w:rsidRDefault="0042421C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2D610EB" w14:textId="77777777" w:rsidR="0042421C" w:rsidRPr="003E751A" w:rsidRDefault="0042421C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953BA1A" w14:textId="77777777" w:rsidR="0042421C" w:rsidRPr="003E751A" w:rsidRDefault="0042421C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bscript"/>
              </w:rPr>
              <w:t>120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C1729CB" w14:textId="77777777" w:rsidR="0042421C" w:rsidRPr="003E751A" w:rsidRDefault="0042421C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bscript"/>
              </w:rPr>
              <w:t>240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FAB5358" w14:textId="77777777" w:rsidR="0042421C" w:rsidRPr="003E751A" w:rsidRDefault="0042421C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bscript"/>
              </w:rPr>
              <w:t>360</w:t>
            </w:r>
          </w:p>
        </w:tc>
      </w:tr>
      <w:tr w:rsidR="0042421C" w:rsidRPr="003E751A" w14:paraId="13C5AE3B" w14:textId="77777777" w:rsidTr="00F62329">
        <w:trPr>
          <w:trHeight w:val="20"/>
        </w:trPr>
        <w:tc>
          <w:tcPr>
            <w:tcW w:w="2438" w:type="dxa"/>
            <w:vMerge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4B379F0A" w14:textId="77777777" w:rsidR="0042421C" w:rsidRPr="003E751A" w:rsidRDefault="0042421C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2FDD18E0" w14:textId="77777777" w:rsidR="0042421C" w:rsidRPr="003E751A" w:rsidRDefault="0042421C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Jimai5256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501025D6" w14:textId="77777777" w:rsidR="0042421C" w:rsidRPr="003E751A" w:rsidRDefault="0042421C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Jimai5256yg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16886221" w14:textId="77777777" w:rsidR="0042421C" w:rsidRPr="003E751A" w:rsidRDefault="0042421C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Jimai5256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929483C" w14:textId="77777777" w:rsidR="0042421C" w:rsidRPr="003E751A" w:rsidRDefault="0042421C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Jimai5256yg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FC4DAC6" w14:textId="77777777" w:rsidR="0042421C" w:rsidRPr="003E751A" w:rsidRDefault="0042421C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Jimai5256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E09A185" w14:textId="77777777" w:rsidR="0042421C" w:rsidRPr="003E751A" w:rsidRDefault="0042421C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Jimai5256yg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228618A6" w14:textId="77777777" w:rsidR="0042421C" w:rsidRPr="003E751A" w:rsidRDefault="0042421C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Jimai5256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D6C6E07" w14:textId="77777777" w:rsidR="0042421C" w:rsidRPr="003E751A" w:rsidRDefault="0042421C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Jimai5256yg</w:t>
            </w:r>
          </w:p>
        </w:tc>
      </w:tr>
      <w:tr w:rsidR="0042421C" w:rsidRPr="003E751A" w14:paraId="60E9D973" w14:textId="77777777" w:rsidTr="00F62329">
        <w:trPr>
          <w:trHeight w:val="20"/>
        </w:trPr>
        <w:tc>
          <w:tcPr>
            <w:tcW w:w="2438" w:type="dxa"/>
            <w:tcBorders>
              <w:top w:val="single" w:sz="8" w:space="0" w:color="auto"/>
            </w:tcBorders>
            <w:shd w:val="clear" w:color="auto" w:fill="auto"/>
            <w:noWrap/>
          </w:tcPr>
          <w:p w14:paraId="21B9BCF1" w14:textId="77777777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Spike number</w:t>
            </w:r>
          </w:p>
        </w:tc>
        <w:tc>
          <w:tcPr>
            <w:tcW w:w="1404" w:type="dxa"/>
            <w:tcBorders>
              <w:top w:val="single" w:sz="8" w:space="0" w:color="auto"/>
            </w:tcBorders>
            <w:shd w:val="clear" w:color="auto" w:fill="auto"/>
            <w:noWrap/>
          </w:tcPr>
          <w:p w14:paraId="6D92232B" w14:textId="6D494983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423.56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16.29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404" w:type="dxa"/>
            <w:tcBorders>
              <w:top w:val="single" w:sz="8" w:space="0" w:color="auto"/>
            </w:tcBorders>
            <w:shd w:val="clear" w:color="auto" w:fill="auto"/>
            <w:noWrap/>
          </w:tcPr>
          <w:p w14:paraId="1A5C1C9D" w14:textId="3B0AED80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445.7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404" w:type="dxa"/>
            <w:tcBorders>
              <w:top w:val="single" w:sz="8" w:space="0" w:color="auto"/>
            </w:tcBorders>
            <w:shd w:val="clear" w:color="auto" w:fill="auto"/>
            <w:noWrap/>
          </w:tcPr>
          <w:p w14:paraId="5AC26D67" w14:textId="52861FA2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465.33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12.22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404" w:type="dxa"/>
            <w:tcBorders>
              <w:top w:val="single" w:sz="8" w:space="0" w:color="auto"/>
            </w:tcBorders>
            <w:shd w:val="clear" w:color="auto" w:fill="auto"/>
            <w:noWrap/>
          </w:tcPr>
          <w:p w14:paraId="6FEBF55C" w14:textId="2D460F6F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497.3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11.37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04" w:type="dxa"/>
            <w:tcBorders>
              <w:top w:val="single" w:sz="8" w:space="0" w:color="auto"/>
            </w:tcBorders>
            <w:shd w:val="clear" w:color="auto" w:fill="auto"/>
            <w:noWrap/>
          </w:tcPr>
          <w:p w14:paraId="4A30CEAC" w14:textId="0CCC51DB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507.33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3.06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04" w:type="dxa"/>
            <w:tcBorders>
              <w:top w:val="single" w:sz="8" w:space="0" w:color="auto"/>
            </w:tcBorders>
            <w:shd w:val="clear" w:color="auto" w:fill="auto"/>
            <w:noWrap/>
          </w:tcPr>
          <w:p w14:paraId="4D7566E3" w14:textId="1314AC56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550.00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9.17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4" w:type="dxa"/>
            <w:tcBorders>
              <w:top w:val="single" w:sz="8" w:space="0" w:color="auto"/>
            </w:tcBorders>
            <w:shd w:val="clear" w:color="auto" w:fill="auto"/>
            <w:noWrap/>
          </w:tcPr>
          <w:p w14:paraId="2BF8FA78" w14:textId="536A5D72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536.89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9.46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4" w:type="dxa"/>
            <w:tcBorders>
              <w:top w:val="single" w:sz="8" w:space="0" w:color="auto"/>
            </w:tcBorders>
            <w:shd w:val="clear" w:color="auto" w:fill="auto"/>
            <w:noWrap/>
          </w:tcPr>
          <w:p w14:paraId="09AD8592" w14:textId="4D82B3F5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477.33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23.13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</w:tr>
      <w:tr w:rsidR="0042421C" w:rsidRPr="003E751A" w14:paraId="1107EE3E" w14:textId="77777777" w:rsidTr="00F62329">
        <w:trPr>
          <w:trHeight w:val="20"/>
        </w:trPr>
        <w:tc>
          <w:tcPr>
            <w:tcW w:w="2438" w:type="dxa"/>
            <w:shd w:val="clear" w:color="auto" w:fill="auto"/>
            <w:noWrap/>
            <w:hideMark/>
          </w:tcPr>
          <w:p w14:paraId="0647FF73" w14:textId="77777777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Grain per spike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131F9D1F" w14:textId="414AE900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25.15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3EDB6689" w14:textId="3DC1A85A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27.33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01F9590F" w14:textId="27162747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27.62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55DA4C45" w14:textId="0E189DD4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32ACD946" w14:textId="73C996A6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31.15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2C18139E" w14:textId="3EFC2967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31.56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32B56F4A" w14:textId="5DB93D08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33.11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757B2A05" w14:textId="656AF9AC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25.98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</w:tr>
      <w:tr w:rsidR="0042421C" w:rsidRPr="003E751A" w14:paraId="4AF43746" w14:textId="77777777" w:rsidTr="00F62329">
        <w:trPr>
          <w:trHeight w:val="20"/>
        </w:trPr>
        <w:tc>
          <w:tcPr>
            <w:tcW w:w="2438" w:type="dxa"/>
            <w:shd w:val="clear" w:color="auto" w:fill="auto"/>
            <w:noWrap/>
            <w:hideMark/>
          </w:tcPr>
          <w:p w14:paraId="784B6DB4" w14:textId="4AC9D87F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000-grain </w:t>
            </w:r>
            <w:r w:rsid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mass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[g]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00BC808A" w14:textId="169418BD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46.61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5A9BE235" w14:textId="0B5CEE0A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47.09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2941EE50" w14:textId="2730098C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47.79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0.72b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616036F2" w14:textId="6E3A3A37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47.57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4328D17B" w14:textId="64361319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48.13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0FF94749" w14:textId="33D23264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47.74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693068B3" w14:textId="41D62F94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50.11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012D892D" w14:textId="0DE2112E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48.04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42421C" w:rsidRPr="003E751A" w14:paraId="47D97D7C" w14:textId="77777777" w:rsidTr="00F62329">
        <w:trPr>
          <w:trHeight w:val="20"/>
        </w:trPr>
        <w:tc>
          <w:tcPr>
            <w:tcW w:w="2438" w:type="dxa"/>
            <w:shd w:val="clear" w:color="auto" w:fill="auto"/>
            <w:noWrap/>
          </w:tcPr>
          <w:p w14:paraId="15F94D8D" w14:textId="2E15AE64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Grain yield</w:t>
            </w:r>
            <w:r w:rsid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[×</w:t>
            </w:r>
            <w:r w:rsid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kg·hm</w:t>
            </w:r>
            <w:proofErr w:type="spellEnd"/>
            <w:r w:rsid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–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04" w:type="dxa"/>
            <w:shd w:val="clear" w:color="auto" w:fill="auto"/>
            <w:noWrap/>
          </w:tcPr>
          <w:p w14:paraId="1820E65A" w14:textId="57D6DCB3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4.839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0.140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404" w:type="dxa"/>
            <w:shd w:val="clear" w:color="auto" w:fill="auto"/>
            <w:noWrap/>
          </w:tcPr>
          <w:p w14:paraId="4131D327" w14:textId="1B604A3E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5.717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0.115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404" w:type="dxa"/>
            <w:shd w:val="clear" w:color="auto" w:fill="auto"/>
            <w:noWrap/>
          </w:tcPr>
          <w:p w14:paraId="2F7E4B72" w14:textId="01141083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6.650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0.229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404" w:type="dxa"/>
            <w:shd w:val="clear" w:color="auto" w:fill="auto"/>
            <w:noWrap/>
          </w:tcPr>
          <w:p w14:paraId="1B212ACF" w14:textId="73CAD72F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6.31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04" w:type="dxa"/>
            <w:shd w:val="clear" w:color="auto" w:fill="auto"/>
            <w:noWrap/>
          </w:tcPr>
          <w:p w14:paraId="62740B3B" w14:textId="47AE1950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7.13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0.076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04" w:type="dxa"/>
            <w:shd w:val="clear" w:color="auto" w:fill="auto"/>
            <w:noWrap/>
          </w:tcPr>
          <w:p w14:paraId="18DFD3F1" w14:textId="2EE5F0E3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7.350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0.132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4" w:type="dxa"/>
            <w:shd w:val="clear" w:color="auto" w:fill="auto"/>
            <w:noWrap/>
          </w:tcPr>
          <w:p w14:paraId="5DD2818A" w14:textId="7D0DF9FC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7.65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0.100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04" w:type="dxa"/>
            <w:shd w:val="clear" w:color="auto" w:fill="auto"/>
            <w:noWrap/>
          </w:tcPr>
          <w:p w14:paraId="6FC085CA" w14:textId="670B8819" w:rsidR="0042421C" w:rsidRPr="003E751A" w:rsidRDefault="0042421C" w:rsidP="00DA6D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6.233</w:t>
            </w:r>
            <w:r w:rsidR="00DA6D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0.189</w:t>
            </w:r>
            <w:r w:rsidRPr="003E751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</w:tbl>
    <w:p w14:paraId="32C735C7" w14:textId="1F66EE7C" w:rsidR="0042421C" w:rsidRPr="003E751A" w:rsidRDefault="0042421C" w:rsidP="00DA6DE6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7176900" w14:textId="3C835422" w:rsidR="0042421C" w:rsidRPr="003E751A" w:rsidRDefault="0042421C" w:rsidP="00DA6DE6">
      <w:pPr>
        <w:contextualSpacing/>
        <w:rPr>
          <w:rFonts w:ascii="Times New Roman" w:eastAsia="SimSun" w:hAnsi="Times New Roman" w:cs="Times New Roman"/>
          <w:sz w:val="20"/>
          <w:szCs w:val="20"/>
        </w:rPr>
      </w:pPr>
      <w:r w:rsidRPr="003E751A">
        <w:rPr>
          <w:rFonts w:ascii="Times New Roman" w:eastAsia="SimSun" w:hAnsi="Times New Roman" w:cs="Times New Roman"/>
          <w:sz w:val="20"/>
          <w:szCs w:val="20"/>
        </w:rPr>
        <w:t>Measurement method of wheat yield: At the mature stage of wheat, 1 m</w:t>
      </w:r>
      <w:r w:rsidRPr="003E751A">
        <w:rPr>
          <w:rFonts w:ascii="Times New Roman" w:eastAsia="SimSun" w:hAnsi="Times New Roman" w:cs="Times New Roman"/>
          <w:sz w:val="20"/>
          <w:szCs w:val="20"/>
          <w:vertAlign w:val="superscript"/>
        </w:rPr>
        <w:t>2</w:t>
      </w:r>
      <w:r w:rsidRPr="003E751A">
        <w:rPr>
          <w:rFonts w:ascii="Times New Roman" w:eastAsia="SimSun" w:hAnsi="Times New Roman" w:cs="Times New Roman"/>
          <w:sz w:val="20"/>
          <w:szCs w:val="20"/>
        </w:rPr>
        <w:t xml:space="preserve"> representative samples were harvested in each plot, and the water content of grains was determined to be 13%. The wheat yield was calculated based on water content and acreage. Three lines of wheat with uniform growth and </w:t>
      </w:r>
      <w:r w:rsidR="00DA6DE6">
        <w:rPr>
          <w:rFonts w:ascii="Times New Roman" w:eastAsia="SimSun" w:hAnsi="Times New Roman" w:cs="Times New Roman"/>
          <w:sz w:val="20"/>
          <w:szCs w:val="20"/>
        </w:rPr>
        <w:t>1-</w:t>
      </w:r>
      <w:r w:rsidRPr="003E751A">
        <w:rPr>
          <w:rFonts w:ascii="Times New Roman" w:eastAsia="SimSun" w:hAnsi="Times New Roman" w:cs="Times New Roman"/>
          <w:sz w:val="20"/>
          <w:szCs w:val="20"/>
        </w:rPr>
        <w:t>m length were selected in each plot, and the spike number, 1</w:t>
      </w:r>
      <w:r w:rsidR="00DA6DE6">
        <w:rPr>
          <w:rFonts w:ascii="Times New Roman" w:eastAsia="SimSun" w:hAnsi="Times New Roman" w:cs="Times New Roman"/>
          <w:sz w:val="20"/>
          <w:szCs w:val="20"/>
        </w:rPr>
        <w:t>,</w:t>
      </w:r>
      <w:r w:rsidRPr="003E751A">
        <w:rPr>
          <w:rFonts w:ascii="Times New Roman" w:eastAsia="SimSun" w:hAnsi="Times New Roman" w:cs="Times New Roman"/>
          <w:sz w:val="20"/>
          <w:szCs w:val="20"/>
        </w:rPr>
        <w:t xml:space="preserve">000-grain </w:t>
      </w:r>
      <w:r w:rsidR="00DA6DE6">
        <w:rPr>
          <w:rFonts w:ascii="Times New Roman" w:eastAsia="SimSun" w:hAnsi="Times New Roman" w:cs="Times New Roman"/>
          <w:sz w:val="20"/>
          <w:szCs w:val="20"/>
        </w:rPr>
        <w:t>mass,</w:t>
      </w:r>
      <w:r w:rsidRPr="003E751A">
        <w:rPr>
          <w:rFonts w:ascii="Times New Roman" w:eastAsia="SimSun" w:hAnsi="Times New Roman" w:cs="Times New Roman"/>
          <w:sz w:val="20"/>
          <w:szCs w:val="20"/>
        </w:rPr>
        <w:t xml:space="preserve"> and grain per spike were determined.</w:t>
      </w:r>
    </w:p>
    <w:p w14:paraId="5824141E" w14:textId="77777777" w:rsidR="0042421C" w:rsidRPr="003E751A" w:rsidRDefault="0042421C" w:rsidP="00DA6DE6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</w:p>
    <w:p w14:paraId="16240ED7" w14:textId="77777777" w:rsidR="003E751A" w:rsidRPr="003E751A" w:rsidRDefault="003E751A" w:rsidP="00DA6DE6">
      <w:pPr>
        <w:pStyle w:val="EndNoteBibliography"/>
        <w:contextualSpacing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3E751A">
          <w:rPr>
            <w:rStyle w:val="Hypertextovodkaz"/>
            <w:rFonts w:ascii="Times New Roman" w:hAnsi="Times New Roman" w:cs="Times New Roman"/>
            <w:sz w:val="20"/>
            <w:szCs w:val="20"/>
          </w:rPr>
          <w:t xml:space="preserve">Zheng S., Siman G., Tong L. </w:t>
        </w:r>
        <w:r w:rsidRPr="003E751A">
          <w:rPr>
            <w:rStyle w:val="Hypertextovodkaz"/>
            <w:rFonts w:ascii="Times New Roman" w:hAnsi="Times New Roman" w:cs="Times New Roman"/>
            <w:i/>
            <w:iCs/>
            <w:sz w:val="20"/>
            <w:szCs w:val="20"/>
          </w:rPr>
          <w:t>et al.</w:t>
        </w:r>
        <w:r w:rsidRPr="003E751A">
          <w:rPr>
            <w:rStyle w:val="Hypertextovodkaz"/>
            <w:rFonts w:ascii="Times New Roman" w:hAnsi="Times New Roman" w:cs="Times New Roman"/>
            <w:sz w:val="20"/>
            <w:szCs w:val="20"/>
          </w:rPr>
          <w:t xml:space="preserve">: [Effect of nitrogen application rate on growth yield and quality of wheat with different chlorophyll content.] – J. Triticeae Crops </w:t>
        </w:r>
        <w:r w:rsidRPr="003E751A">
          <w:rPr>
            <w:rStyle w:val="Hypertextovodkaz"/>
            <w:rFonts w:ascii="Times New Roman" w:hAnsi="Times New Roman" w:cs="Times New Roman"/>
            <w:b/>
            <w:sz w:val="20"/>
            <w:szCs w:val="20"/>
          </w:rPr>
          <w:t>41</w:t>
        </w:r>
        <w:r w:rsidRPr="003E751A">
          <w:rPr>
            <w:rStyle w:val="Hypertextovodkaz"/>
            <w:rFonts w:ascii="Times New Roman" w:hAnsi="Times New Roman" w:cs="Times New Roman"/>
            <w:sz w:val="20"/>
            <w:szCs w:val="20"/>
          </w:rPr>
          <w:t>: 1134-1142, 2021. [In Chinese]</w:t>
        </w:r>
      </w:hyperlink>
    </w:p>
    <w:p w14:paraId="369C1EFB" w14:textId="77777777" w:rsidR="0042421C" w:rsidRPr="003E751A" w:rsidRDefault="0042421C" w:rsidP="00DA6DE6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5AB384B" w14:textId="2E608AB2" w:rsidR="0042421C" w:rsidRPr="003E751A" w:rsidRDefault="0042421C" w:rsidP="00DA6DE6">
      <w:pPr>
        <w:contextualSpacing/>
        <w:rPr>
          <w:rFonts w:ascii="Times New Roman" w:hAnsi="Times New Roman" w:cs="Times New Roman"/>
          <w:sz w:val="20"/>
          <w:szCs w:val="20"/>
        </w:rPr>
      </w:pPr>
      <w:r w:rsidRPr="003E751A">
        <w:rPr>
          <w:rFonts w:ascii="Times New Roman" w:hAnsi="Times New Roman" w:cs="Times New Roman"/>
          <w:sz w:val="20"/>
          <w:szCs w:val="20"/>
        </w:rPr>
        <w:t xml:space="preserve">Table </w:t>
      </w:r>
      <w:r w:rsidRPr="003E751A">
        <w:rPr>
          <w:rFonts w:ascii="Times New Roman" w:hAnsi="Times New Roman" w:cs="Times New Roman"/>
          <w:sz w:val="20"/>
          <w:szCs w:val="20"/>
        </w:rPr>
        <w:t>2S.</w:t>
      </w:r>
      <w:r w:rsidRPr="003E751A">
        <w:rPr>
          <w:rFonts w:ascii="Times New Roman" w:hAnsi="Times New Roman" w:cs="Times New Roman"/>
          <w:sz w:val="20"/>
          <w:szCs w:val="20"/>
        </w:rPr>
        <w:t xml:space="preserve"> The effects of different N applications on leaf dry </w:t>
      </w:r>
      <w:r w:rsidR="00F62329">
        <w:rPr>
          <w:rFonts w:ascii="Times New Roman" w:hAnsi="Times New Roman" w:cs="Times New Roman"/>
          <w:sz w:val="20"/>
          <w:szCs w:val="20"/>
        </w:rPr>
        <w:t>mass</w:t>
      </w:r>
      <w:r w:rsidRPr="003E751A">
        <w:rPr>
          <w:rFonts w:ascii="Times New Roman" w:hAnsi="Times New Roman" w:cs="Times New Roman"/>
          <w:sz w:val="20"/>
          <w:szCs w:val="20"/>
        </w:rPr>
        <w:t xml:space="preserve"> and leaf N content.</w:t>
      </w:r>
      <w:r w:rsidRPr="00F6232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62329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E751A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mass</w:t>
      </w:r>
      <w:proofErr w:type="spellEnd"/>
      <w:r w:rsidRPr="003E751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62329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3E751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1" w:name="_Hlk109704293"/>
      <w:r w:rsidR="00F62329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E751A">
        <w:rPr>
          <w:rFonts w:ascii="Times New Roman" w:hAnsi="Times New Roman" w:cs="Times New Roman"/>
          <w:color w:val="000000"/>
          <w:sz w:val="20"/>
          <w:szCs w:val="20"/>
        </w:rPr>
        <w:t>itrogen content per unit mass</w:t>
      </w:r>
      <w:bookmarkEnd w:id="1"/>
      <w:r w:rsidRPr="003E751A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F6232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2" w:name="_Hlk109704387"/>
      <w:proofErr w:type="spellStart"/>
      <w:r w:rsidRPr="00F62329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E751A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area</w:t>
      </w:r>
      <w:bookmarkEnd w:id="2"/>
      <w:proofErr w:type="spellEnd"/>
      <w:r w:rsidRPr="00F6232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62329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3E751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3" w:name="_Hlk109704337"/>
      <w:r w:rsidR="00F62329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E751A">
        <w:rPr>
          <w:rFonts w:ascii="Times New Roman" w:hAnsi="Times New Roman" w:cs="Times New Roman"/>
          <w:color w:val="000000"/>
          <w:sz w:val="20"/>
          <w:szCs w:val="20"/>
        </w:rPr>
        <w:t>itrogen content per unit area</w:t>
      </w:r>
      <w:bookmarkEnd w:id="3"/>
      <w:r w:rsidRPr="003E751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3E751A">
        <w:rPr>
          <w:rFonts w:ascii="Times New Roman" w:hAnsi="Times New Roman" w:cs="Times New Roman"/>
          <w:sz w:val="20"/>
          <w:szCs w:val="20"/>
        </w:rPr>
        <w:t xml:space="preserve">Data are the means of three replicates. </w:t>
      </w:r>
      <w:r w:rsidRPr="00F62329">
        <w:rPr>
          <w:rFonts w:ascii="Times New Roman" w:hAnsi="Times New Roman" w:cs="Times New Roman"/>
          <w:i/>
          <w:iCs/>
          <w:sz w:val="20"/>
          <w:szCs w:val="20"/>
        </w:rPr>
        <w:t>Lowercase letters</w:t>
      </w:r>
      <w:r w:rsidRPr="003E751A">
        <w:rPr>
          <w:rFonts w:ascii="Times New Roman" w:hAnsi="Times New Roman" w:cs="Times New Roman"/>
          <w:sz w:val="20"/>
          <w:szCs w:val="20"/>
        </w:rPr>
        <w:t xml:space="preserve"> following the data within the same row refer to significant difference (</w:t>
      </w:r>
      <w:r w:rsidRPr="003E751A">
        <w:rPr>
          <w:rFonts w:ascii="Times New Roman" w:hAnsi="Times New Roman" w:cs="Times New Roman"/>
          <w:i/>
          <w:sz w:val="20"/>
          <w:szCs w:val="20"/>
        </w:rPr>
        <w:t>p</w:t>
      </w:r>
      <w:r w:rsidR="00F62329">
        <w:rPr>
          <w:rFonts w:ascii="Times New Roman" w:hAnsi="Times New Roman" w:cs="Times New Roman"/>
          <w:sz w:val="20"/>
          <w:szCs w:val="20"/>
        </w:rPr>
        <w:t>≤</w:t>
      </w:r>
      <w:r w:rsidRPr="003E751A">
        <w:rPr>
          <w:rFonts w:ascii="Times New Roman" w:hAnsi="Times New Roman" w:cs="Times New Roman"/>
          <w:sz w:val="20"/>
          <w:szCs w:val="20"/>
        </w:rPr>
        <w:t xml:space="preserve">0.05), compared </w:t>
      </w:r>
      <w:r w:rsidRPr="005259B8">
        <w:rPr>
          <w:rFonts w:ascii="Times New Roman" w:hAnsi="Times New Roman" w:cs="Times New Roman"/>
          <w:i/>
          <w:iCs/>
          <w:sz w:val="20"/>
          <w:szCs w:val="20"/>
        </w:rPr>
        <w:t>via Duncan</w:t>
      </w:r>
      <w:r w:rsidR="005259B8">
        <w:rPr>
          <w:rFonts w:ascii="Times New Roman" w:hAnsi="Times New Roman" w:cs="Times New Roman"/>
          <w:sz w:val="20"/>
          <w:szCs w:val="20"/>
        </w:rPr>
        <w:t>'</w:t>
      </w:r>
      <w:r w:rsidRPr="003E751A">
        <w:rPr>
          <w:rFonts w:ascii="Times New Roman" w:hAnsi="Times New Roman" w:cs="Times New Roman"/>
          <w:sz w:val="20"/>
          <w:szCs w:val="20"/>
        </w:rPr>
        <w:t>s multiple range tests. N</w:t>
      </w:r>
      <w:r w:rsidR="005259B8">
        <w:rPr>
          <w:rFonts w:ascii="Times New Roman" w:hAnsi="Times New Roman" w:cs="Times New Roman"/>
          <w:sz w:val="20"/>
          <w:szCs w:val="20"/>
        </w:rPr>
        <w:t xml:space="preserve"> –</w:t>
      </w:r>
      <w:r w:rsidRPr="003E751A">
        <w:rPr>
          <w:rFonts w:ascii="Times New Roman" w:hAnsi="Times New Roman" w:cs="Times New Roman"/>
          <w:sz w:val="20"/>
          <w:szCs w:val="20"/>
        </w:rPr>
        <w:t xml:space="preserve"> nitrogen treatment; G</w:t>
      </w:r>
      <w:r w:rsidR="005259B8">
        <w:rPr>
          <w:rFonts w:ascii="Times New Roman" w:hAnsi="Times New Roman" w:cs="Times New Roman"/>
          <w:sz w:val="20"/>
          <w:szCs w:val="20"/>
        </w:rPr>
        <w:t xml:space="preserve"> –</w:t>
      </w:r>
      <w:r w:rsidRPr="003E751A">
        <w:rPr>
          <w:rFonts w:ascii="Times New Roman" w:hAnsi="Times New Roman" w:cs="Times New Roman"/>
          <w:sz w:val="20"/>
          <w:szCs w:val="20"/>
        </w:rPr>
        <w:t xml:space="preserve"> genotype. NS </w:t>
      </w:r>
      <w:r w:rsidR="005259B8">
        <w:rPr>
          <w:rFonts w:ascii="Times New Roman" w:hAnsi="Times New Roman" w:cs="Times New Roman"/>
          <w:sz w:val="20"/>
          <w:szCs w:val="20"/>
        </w:rPr>
        <w:t xml:space="preserve">– </w:t>
      </w:r>
      <w:r w:rsidRPr="003E751A">
        <w:rPr>
          <w:rFonts w:ascii="Times New Roman" w:hAnsi="Times New Roman" w:cs="Times New Roman"/>
          <w:sz w:val="20"/>
          <w:szCs w:val="20"/>
        </w:rPr>
        <w:t>not significant, **</w:t>
      </w:r>
      <w:r w:rsidRPr="005259B8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5259B8">
        <w:rPr>
          <w:rFonts w:ascii="Times New Roman" w:hAnsi="Times New Roman" w:cs="Times New Roman"/>
          <w:sz w:val="20"/>
          <w:szCs w:val="20"/>
        </w:rPr>
        <w:t>≤</w:t>
      </w:r>
      <w:r w:rsidRPr="003E751A">
        <w:rPr>
          <w:rFonts w:ascii="Times New Roman" w:hAnsi="Times New Roman" w:cs="Times New Roman"/>
          <w:sz w:val="20"/>
          <w:szCs w:val="20"/>
        </w:rPr>
        <w:t>0.01; *</w:t>
      </w:r>
      <w:r w:rsidRPr="005259B8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5259B8">
        <w:rPr>
          <w:rFonts w:ascii="Times New Roman" w:hAnsi="Times New Roman" w:cs="Times New Roman"/>
          <w:sz w:val="20"/>
          <w:szCs w:val="20"/>
        </w:rPr>
        <w:t>≤</w:t>
      </w:r>
      <w:r w:rsidRPr="003E751A">
        <w:rPr>
          <w:rFonts w:ascii="Times New Roman" w:hAnsi="Times New Roman" w:cs="Times New Roman"/>
          <w:sz w:val="20"/>
          <w:szCs w:val="20"/>
        </w:rPr>
        <w:t>0.05</w:t>
      </w:r>
      <w:r w:rsidR="005259B8">
        <w:rPr>
          <w:rFonts w:ascii="Times New Roman" w:hAnsi="Times New Roman" w:cs="Times New Roman"/>
          <w:sz w:val="20"/>
          <w:szCs w:val="20"/>
        </w:rPr>
        <w:t>.</w:t>
      </w:r>
    </w:p>
    <w:p w14:paraId="675ED123" w14:textId="77777777" w:rsidR="0042421C" w:rsidRPr="003E751A" w:rsidRDefault="0042421C" w:rsidP="00DA6DE6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340"/>
        <w:gridCol w:w="1354"/>
        <w:gridCol w:w="1259"/>
        <w:gridCol w:w="1257"/>
        <w:gridCol w:w="1259"/>
        <w:gridCol w:w="1257"/>
        <w:gridCol w:w="1257"/>
        <w:gridCol w:w="1207"/>
        <w:gridCol w:w="433"/>
        <w:gridCol w:w="433"/>
        <w:gridCol w:w="901"/>
      </w:tblGrid>
      <w:tr w:rsidR="003B55E3" w:rsidRPr="003E751A" w14:paraId="774E9FCE" w14:textId="77777777" w:rsidTr="0042421C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3631D6C" w14:textId="4747A16F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bookmarkStart w:id="4" w:name="_Hlk94230004"/>
            <w:bookmarkEnd w:id="0"/>
          </w:p>
        </w:tc>
        <w:tc>
          <w:tcPr>
            <w:tcW w:w="2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C6C95D1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CBC6E1B" w14:textId="1E15A524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</w:t>
            </w:r>
            <w:r w:rsidR="00CA74EB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bscript"/>
              </w:rPr>
              <w:t>120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3D8F354" w14:textId="6E43DD48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</w:t>
            </w:r>
            <w:r w:rsidR="00CA74EB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bscript"/>
              </w:rPr>
              <w:t>240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4FB9830" w14:textId="3C8D0E7D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="00CA74EB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bscript"/>
              </w:rPr>
              <w:t>60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30A2588" w14:textId="638D123A" w:rsidR="003B55E3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Analysis of variance</w:t>
            </w:r>
          </w:p>
        </w:tc>
      </w:tr>
      <w:tr w:rsidR="003B55E3" w:rsidRPr="003E751A" w14:paraId="2C35AFFE" w14:textId="77777777" w:rsidTr="0042421C">
        <w:trPr>
          <w:trHeight w:val="20"/>
        </w:trPr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1E559407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541CA37D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Jimai5256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69B8CF2B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Jimai5256yg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71F09FE0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Jimai5256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37324CDC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Jimai5256yg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1FBB70C3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Jimai5256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74E19E56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Jimai5256yg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E843D9C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Jimai5256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23C4099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Jimai5256yg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5C86E687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3E46A4AF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37289DAC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N×G</w:t>
            </w:r>
          </w:p>
        </w:tc>
      </w:tr>
      <w:tr w:rsidR="003B55E3" w:rsidRPr="003E751A" w14:paraId="446A25FD" w14:textId="77777777" w:rsidTr="0042421C">
        <w:trPr>
          <w:trHeight w:val="20"/>
        </w:trPr>
        <w:tc>
          <w:tcPr>
            <w:tcW w:w="212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22AD7B51" w14:textId="744B47A0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Leaf area</w:t>
            </w:r>
            <w:r w:rsidR="00706FCD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[</w:t>
            </w:r>
            <w:r w:rsidR="00F62329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× 10</w:t>
            </w:r>
            <w:r w:rsidR="00F62329" w:rsidRPr="00F62329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–3</w:t>
            </w:r>
            <w:r w:rsidR="00F62329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="00706FCD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7460964F" w14:textId="1950D89B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1.385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2.004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32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38734445" w14:textId="03D367A5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1.493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0.225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31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390ED060" w14:textId="7282D732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1.698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1.440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2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085CCD64" w14:textId="65E1C6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1.609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0.614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31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6B4038FC" w14:textId="6B50E552" w:rsidR="003B55E3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1.557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1.066</w:t>
            </w:r>
            <w:r w:rsidR="003B55E3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2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19D71C93" w14:textId="078E7979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1.819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0.665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6C700526" w14:textId="70685BBE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1.763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0.796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2082632A" w14:textId="4E8960E0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1.719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0.780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44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45230C83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NS</w:t>
            </w:r>
          </w:p>
        </w:tc>
        <w:tc>
          <w:tcPr>
            <w:tcW w:w="44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6CA3D7A7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8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6495083E" w14:textId="77777777" w:rsidR="003B55E3" w:rsidRPr="003E751A" w:rsidRDefault="003B55E3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F62329" w:rsidRPr="003E751A" w14:paraId="3D889409" w14:textId="77777777" w:rsidTr="0042421C">
        <w:trPr>
          <w:trHeight w:val="20"/>
        </w:trPr>
        <w:tc>
          <w:tcPr>
            <w:tcW w:w="212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7899B9E9" w14:textId="77777777" w:rsidR="00F62329" w:rsidRPr="003E751A" w:rsidRDefault="00F62329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3C7E150F" w14:textId="77777777" w:rsidR="00F62329" w:rsidRPr="003E751A" w:rsidRDefault="00F62329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4BFAAC34" w14:textId="77777777" w:rsidR="00F62329" w:rsidRPr="003E751A" w:rsidRDefault="00F62329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6AAD12DE" w14:textId="77777777" w:rsidR="00F62329" w:rsidRPr="003E751A" w:rsidRDefault="00F62329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0CB9AF89" w14:textId="77777777" w:rsidR="00F62329" w:rsidRPr="003E751A" w:rsidRDefault="00F62329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4A8FC8ED" w14:textId="77777777" w:rsidR="00F62329" w:rsidRPr="003E751A" w:rsidRDefault="00F62329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091C01BF" w14:textId="77777777" w:rsidR="00F62329" w:rsidRPr="003E751A" w:rsidRDefault="00F62329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127BA11B" w14:textId="77777777" w:rsidR="00F62329" w:rsidRPr="003E751A" w:rsidRDefault="00F62329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2BE03C70" w14:textId="77777777" w:rsidR="00F62329" w:rsidRPr="003E751A" w:rsidRDefault="00F62329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547B4DEF" w14:textId="77777777" w:rsidR="00F62329" w:rsidRPr="003E751A" w:rsidRDefault="00F62329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19699AF9" w14:textId="77777777" w:rsidR="00F62329" w:rsidRPr="003E751A" w:rsidRDefault="00F62329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036B116F" w14:textId="77777777" w:rsidR="00F62329" w:rsidRPr="003E751A" w:rsidRDefault="00F62329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74EB" w:rsidRPr="003E751A" w14:paraId="786DE213" w14:textId="77777777" w:rsidTr="0042421C">
        <w:trPr>
          <w:trHeight w:val="20"/>
        </w:trPr>
        <w:tc>
          <w:tcPr>
            <w:tcW w:w="2127" w:type="dxa"/>
            <w:tcBorders>
              <w:top w:val="nil"/>
            </w:tcBorders>
            <w:shd w:val="clear" w:color="auto" w:fill="auto"/>
            <w:noWrap/>
          </w:tcPr>
          <w:p w14:paraId="3740313A" w14:textId="48B6F65A" w:rsidR="00CA74EB" w:rsidRPr="003E751A" w:rsidRDefault="00F62329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</w:t>
            </w:r>
            <w:r w:rsidR="00CA74EB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eaf dry 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mass</w:t>
            </w:r>
            <w:r w:rsidR="00706FCD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[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× 10</w:t>
            </w:r>
            <w:r w:rsidRPr="00F62329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–</w:t>
            </w:r>
            <w:r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F62329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74EB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</w:t>
            </w:r>
            <w:r w:rsidR="00706FCD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</w:tcPr>
          <w:p w14:paraId="34AD6180" w14:textId="14FD89BE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9.147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0.473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32" w:type="dxa"/>
            <w:tcBorders>
              <w:top w:val="nil"/>
            </w:tcBorders>
            <w:shd w:val="clear" w:color="auto" w:fill="auto"/>
            <w:noWrap/>
          </w:tcPr>
          <w:p w14:paraId="7A8246C2" w14:textId="75489360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8.424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0.858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</w:tcPr>
          <w:p w14:paraId="72E189D1" w14:textId="5D0BE971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9.624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0.161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29" w:type="dxa"/>
            <w:tcBorders>
              <w:top w:val="nil"/>
            </w:tcBorders>
            <w:shd w:val="clear" w:color="auto" w:fill="auto"/>
            <w:noWrap/>
          </w:tcPr>
          <w:p w14:paraId="5171152E" w14:textId="125746C3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9.613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0.201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1" w:type="dxa"/>
            <w:tcBorders>
              <w:top w:val="nil"/>
            </w:tcBorders>
            <w:shd w:val="clear" w:color="auto" w:fill="auto"/>
            <w:noWrap/>
          </w:tcPr>
          <w:p w14:paraId="7A466218" w14:textId="4014382B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9.569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0.263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29" w:type="dxa"/>
            <w:tcBorders>
              <w:top w:val="nil"/>
            </w:tcBorders>
            <w:shd w:val="clear" w:color="auto" w:fill="auto"/>
            <w:noWrap/>
          </w:tcPr>
          <w:p w14:paraId="792E317F" w14:textId="5471EC6B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9.069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0.241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29" w:type="dxa"/>
            <w:tcBorders>
              <w:top w:val="nil"/>
            </w:tcBorders>
            <w:shd w:val="clear" w:color="auto" w:fill="auto"/>
            <w:noWrap/>
          </w:tcPr>
          <w:p w14:paraId="7C2DBBDC" w14:textId="39708E58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9.669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0.372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</w:tcPr>
          <w:p w14:paraId="018CE854" w14:textId="73AB6B33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9.036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0.241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47" w:type="dxa"/>
            <w:tcBorders>
              <w:top w:val="nil"/>
            </w:tcBorders>
            <w:shd w:val="clear" w:color="auto" w:fill="auto"/>
            <w:noWrap/>
          </w:tcPr>
          <w:p w14:paraId="15B9864E" w14:textId="207F055D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NS</w:t>
            </w:r>
          </w:p>
        </w:tc>
        <w:tc>
          <w:tcPr>
            <w:tcW w:w="447" w:type="dxa"/>
            <w:tcBorders>
              <w:top w:val="nil"/>
            </w:tcBorders>
            <w:shd w:val="clear" w:color="auto" w:fill="auto"/>
            <w:noWrap/>
          </w:tcPr>
          <w:p w14:paraId="09622320" w14:textId="72024ABA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8" w:type="dxa"/>
            <w:tcBorders>
              <w:top w:val="nil"/>
            </w:tcBorders>
            <w:shd w:val="clear" w:color="auto" w:fill="auto"/>
            <w:noWrap/>
          </w:tcPr>
          <w:p w14:paraId="14EA37DD" w14:textId="72FEEC85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CA74EB" w:rsidRPr="003E751A" w14:paraId="4E308739" w14:textId="77777777" w:rsidTr="0042421C">
        <w:trPr>
          <w:trHeight w:val="20"/>
        </w:trPr>
        <w:tc>
          <w:tcPr>
            <w:tcW w:w="2127" w:type="dxa"/>
            <w:shd w:val="clear" w:color="auto" w:fill="auto"/>
            <w:noWrap/>
            <w:hideMark/>
          </w:tcPr>
          <w:p w14:paraId="2A86F1B8" w14:textId="2FF639FF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62329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bscript"/>
              </w:rPr>
              <w:t>mass</w:t>
            </w:r>
            <w:proofErr w:type="spellEnd"/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06FCD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[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</w:t>
            </w:r>
            <w:r w:rsidR="00706FCD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kg</w:t>
            </w:r>
            <w:r w:rsidR="00F62329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–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  <w:r w:rsidR="00706FCD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F3F6FD" w14:textId="330A178C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10.638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1.084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4B5704E7" w14:textId="2B7A5012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11.407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1.488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14:paraId="6463E636" w14:textId="5C9F7E0F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11.867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0.988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67838CB7" w14:textId="29C8FD33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12.217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0.839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14:paraId="3CBA4649" w14:textId="713A0E6C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12.473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0.417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51273762" w14:textId="7ACB5767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13.711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0.512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688494C6" w14:textId="1D11FBE4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13.242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0.737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4C5888" w14:textId="4FBF4CA7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15.057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0.848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47" w:type="dxa"/>
            <w:shd w:val="clear" w:color="auto" w:fill="auto"/>
            <w:noWrap/>
            <w:hideMark/>
          </w:tcPr>
          <w:p w14:paraId="28ED22C3" w14:textId="77777777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447" w:type="dxa"/>
            <w:shd w:val="clear" w:color="auto" w:fill="auto"/>
            <w:noWrap/>
            <w:hideMark/>
          </w:tcPr>
          <w:p w14:paraId="2C5B6603" w14:textId="77777777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8" w:type="dxa"/>
            <w:shd w:val="clear" w:color="auto" w:fill="auto"/>
            <w:noWrap/>
            <w:hideMark/>
          </w:tcPr>
          <w:p w14:paraId="49654C64" w14:textId="77777777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tr w:rsidR="00CA74EB" w:rsidRPr="003E751A" w14:paraId="26BB1AF5" w14:textId="77777777" w:rsidTr="0042421C">
        <w:trPr>
          <w:trHeight w:val="20"/>
        </w:trPr>
        <w:tc>
          <w:tcPr>
            <w:tcW w:w="2127" w:type="dxa"/>
            <w:shd w:val="clear" w:color="auto" w:fill="auto"/>
            <w:noWrap/>
            <w:hideMark/>
          </w:tcPr>
          <w:p w14:paraId="36C068F4" w14:textId="06CFFDE1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62329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bscript"/>
              </w:rPr>
              <w:t>area</w:t>
            </w:r>
            <w:proofErr w:type="spellEnd"/>
            <w:r w:rsidR="00706FCD" w:rsidRPr="00F62329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06FCD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[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</w:t>
            </w:r>
            <w:r w:rsidR="00706FCD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</w:t>
            </w:r>
            <w:r w:rsidR="00F62329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–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="00706FCD"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872AEA" w14:textId="23D034A2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7.118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0.375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14:paraId="7286176A" w14:textId="181070B4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6.325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0.730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14:paraId="1D3D377E" w14:textId="7691A178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6.734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0.224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5086AB86" w14:textId="482E0F83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7.289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0.386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14:paraId="596F09D9" w14:textId="2945C2A8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7.701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0.284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13D99F54" w14:textId="408EB774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6.834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0.105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329" w:type="dxa"/>
            <w:shd w:val="clear" w:color="auto" w:fill="auto"/>
            <w:noWrap/>
            <w:hideMark/>
          </w:tcPr>
          <w:p w14:paraId="1EC216A9" w14:textId="0965FDDB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7.249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0.196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EC0D44" w14:textId="2F3A3E06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7.901</w:t>
            </w:r>
            <w:r w:rsidR="00DA6DE6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0.134</w:t>
            </w: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47" w:type="dxa"/>
            <w:shd w:val="clear" w:color="auto" w:fill="auto"/>
            <w:noWrap/>
            <w:hideMark/>
          </w:tcPr>
          <w:p w14:paraId="78C5A232" w14:textId="77777777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NS</w:t>
            </w:r>
          </w:p>
        </w:tc>
        <w:tc>
          <w:tcPr>
            <w:tcW w:w="447" w:type="dxa"/>
            <w:shd w:val="clear" w:color="auto" w:fill="auto"/>
            <w:noWrap/>
            <w:hideMark/>
          </w:tcPr>
          <w:p w14:paraId="50EC56B8" w14:textId="77777777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NS</w:t>
            </w:r>
          </w:p>
        </w:tc>
        <w:tc>
          <w:tcPr>
            <w:tcW w:w="948" w:type="dxa"/>
            <w:shd w:val="clear" w:color="auto" w:fill="auto"/>
            <w:noWrap/>
            <w:hideMark/>
          </w:tcPr>
          <w:p w14:paraId="15C7A2BE" w14:textId="77777777" w:rsidR="00CA74EB" w:rsidRPr="003E751A" w:rsidRDefault="00CA74EB" w:rsidP="00DA6DE6">
            <w:pPr>
              <w:contextualSpacing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3E751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NS</w:t>
            </w:r>
          </w:p>
        </w:tc>
      </w:tr>
      <w:bookmarkEnd w:id="4"/>
    </w:tbl>
    <w:p w14:paraId="357AE10D" w14:textId="1A186A1A" w:rsidR="003B55E3" w:rsidRPr="003E751A" w:rsidRDefault="003B55E3" w:rsidP="0042421C">
      <w:pPr>
        <w:rPr>
          <w:rFonts w:ascii="Times New Roman" w:hAnsi="Times New Roman" w:cs="Times New Roman"/>
          <w:sz w:val="20"/>
          <w:szCs w:val="20"/>
        </w:rPr>
      </w:pPr>
    </w:p>
    <w:sectPr w:rsidR="003B55E3" w:rsidRPr="003E751A" w:rsidSect="003B55E3">
      <w:pgSz w:w="16840" w:h="11900" w:orient="landscape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4446" w14:textId="77777777" w:rsidR="00B95311" w:rsidRDefault="00B95311" w:rsidP="00FB38D2">
      <w:r>
        <w:separator/>
      </w:r>
    </w:p>
  </w:endnote>
  <w:endnote w:type="continuationSeparator" w:id="0">
    <w:p w14:paraId="6175E443" w14:textId="77777777" w:rsidR="00B95311" w:rsidRDefault="00B95311" w:rsidP="00FB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AD1B" w14:textId="77777777" w:rsidR="00B95311" w:rsidRDefault="00B95311" w:rsidP="00FB38D2">
      <w:r>
        <w:separator/>
      </w:r>
    </w:p>
  </w:footnote>
  <w:footnote w:type="continuationSeparator" w:id="0">
    <w:p w14:paraId="042E3431" w14:textId="77777777" w:rsidR="00B95311" w:rsidRDefault="00B95311" w:rsidP="00FB3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5E3"/>
    <w:rsid w:val="00015BA1"/>
    <w:rsid w:val="00015C84"/>
    <w:rsid w:val="0002118C"/>
    <w:rsid w:val="00025EB2"/>
    <w:rsid w:val="00030103"/>
    <w:rsid w:val="000304C3"/>
    <w:rsid w:val="00057FD6"/>
    <w:rsid w:val="000726D9"/>
    <w:rsid w:val="00076464"/>
    <w:rsid w:val="00076670"/>
    <w:rsid w:val="000A0884"/>
    <w:rsid w:val="000A1829"/>
    <w:rsid w:val="000A6369"/>
    <w:rsid w:val="000A6C0D"/>
    <w:rsid w:val="000B03C3"/>
    <w:rsid w:val="000C1677"/>
    <w:rsid w:val="000D70D7"/>
    <w:rsid w:val="000F04CE"/>
    <w:rsid w:val="0010259C"/>
    <w:rsid w:val="001040B2"/>
    <w:rsid w:val="00110C14"/>
    <w:rsid w:val="0011497E"/>
    <w:rsid w:val="001166F2"/>
    <w:rsid w:val="0012383E"/>
    <w:rsid w:val="0012763D"/>
    <w:rsid w:val="00136BD0"/>
    <w:rsid w:val="00137C91"/>
    <w:rsid w:val="001468C8"/>
    <w:rsid w:val="00146C21"/>
    <w:rsid w:val="0015129B"/>
    <w:rsid w:val="00151DB8"/>
    <w:rsid w:val="00152522"/>
    <w:rsid w:val="0015285E"/>
    <w:rsid w:val="00153837"/>
    <w:rsid w:val="00156345"/>
    <w:rsid w:val="00157711"/>
    <w:rsid w:val="0016194B"/>
    <w:rsid w:val="001640F8"/>
    <w:rsid w:val="00174125"/>
    <w:rsid w:val="001976E4"/>
    <w:rsid w:val="001977FE"/>
    <w:rsid w:val="001B1D27"/>
    <w:rsid w:val="001B4F39"/>
    <w:rsid w:val="001C01A9"/>
    <w:rsid w:val="001C2E2B"/>
    <w:rsid w:val="001C6009"/>
    <w:rsid w:val="001C60DD"/>
    <w:rsid w:val="001D1C3B"/>
    <w:rsid w:val="001D2454"/>
    <w:rsid w:val="001D777B"/>
    <w:rsid w:val="001F2F99"/>
    <w:rsid w:val="00205C48"/>
    <w:rsid w:val="0022182B"/>
    <w:rsid w:val="00221FBA"/>
    <w:rsid w:val="0022450F"/>
    <w:rsid w:val="002326A4"/>
    <w:rsid w:val="00233FD2"/>
    <w:rsid w:val="00235DB2"/>
    <w:rsid w:val="002473A0"/>
    <w:rsid w:val="00252482"/>
    <w:rsid w:val="002612AC"/>
    <w:rsid w:val="00263CBD"/>
    <w:rsid w:val="00272964"/>
    <w:rsid w:val="00282331"/>
    <w:rsid w:val="002829B1"/>
    <w:rsid w:val="00283DA0"/>
    <w:rsid w:val="00286B4D"/>
    <w:rsid w:val="002A416C"/>
    <w:rsid w:val="002B54DA"/>
    <w:rsid w:val="002B5B5A"/>
    <w:rsid w:val="002C3441"/>
    <w:rsid w:val="002C5E3D"/>
    <w:rsid w:val="002D3E59"/>
    <w:rsid w:val="002E18D0"/>
    <w:rsid w:val="002E3F36"/>
    <w:rsid w:val="002E49D3"/>
    <w:rsid w:val="002F06AD"/>
    <w:rsid w:val="002F0B71"/>
    <w:rsid w:val="002F3E0F"/>
    <w:rsid w:val="00303AF3"/>
    <w:rsid w:val="00307B3B"/>
    <w:rsid w:val="00325E3B"/>
    <w:rsid w:val="00325EA2"/>
    <w:rsid w:val="00327BB0"/>
    <w:rsid w:val="00332A3D"/>
    <w:rsid w:val="00342A4C"/>
    <w:rsid w:val="0034331B"/>
    <w:rsid w:val="00343AA5"/>
    <w:rsid w:val="00350EF1"/>
    <w:rsid w:val="003516BC"/>
    <w:rsid w:val="00354443"/>
    <w:rsid w:val="00360448"/>
    <w:rsid w:val="003A0801"/>
    <w:rsid w:val="003A4FFF"/>
    <w:rsid w:val="003B1220"/>
    <w:rsid w:val="003B2524"/>
    <w:rsid w:val="003B556A"/>
    <w:rsid w:val="003B55E3"/>
    <w:rsid w:val="003C47B2"/>
    <w:rsid w:val="003C7589"/>
    <w:rsid w:val="003D14BC"/>
    <w:rsid w:val="003D2BBB"/>
    <w:rsid w:val="003E257C"/>
    <w:rsid w:val="003E751A"/>
    <w:rsid w:val="003E783F"/>
    <w:rsid w:val="003F018F"/>
    <w:rsid w:val="003F5818"/>
    <w:rsid w:val="00405DE8"/>
    <w:rsid w:val="00415712"/>
    <w:rsid w:val="0042421C"/>
    <w:rsid w:val="00424369"/>
    <w:rsid w:val="00425352"/>
    <w:rsid w:val="004266D3"/>
    <w:rsid w:val="00444652"/>
    <w:rsid w:val="00454E1D"/>
    <w:rsid w:val="004618BB"/>
    <w:rsid w:val="0046196F"/>
    <w:rsid w:val="00477D26"/>
    <w:rsid w:val="004942AD"/>
    <w:rsid w:val="00497B0E"/>
    <w:rsid w:val="00497C0A"/>
    <w:rsid w:val="004A015F"/>
    <w:rsid w:val="004A4967"/>
    <w:rsid w:val="004B0857"/>
    <w:rsid w:val="004B0F0A"/>
    <w:rsid w:val="004B7644"/>
    <w:rsid w:val="004D002E"/>
    <w:rsid w:val="004F1ED4"/>
    <w:rsid w:val="004F4F3A"/>
    <w:rsid w:val="00507FB6"/>
    <w:rsid w:val="00513011"/>
    <w:rsid w:val="00515721"/>
    <w:rsid w:val="005164B4"/>
    <w:rsid w:val="0052066B"/>
    <w:rsid w:val="005259B8"/>
    <w:rsid w:val="005318D0"/>
    <w:rsid w:val="005338A2"/>
    <w:rsid w:val="005431EE"/>
    <w:rsid w:val="005531AF"/>
    <w:rsid w:val="00560797"/>
    <w:rsid w:val="00562678"/>
    <w:rsid w:val="00571208"/>
    <w:rsid w:val="0057627B"/>
    <w:rsid w:val="00582D48"/>
    <w:rsid w:val="00587E05"/>
    <w:rsid w:val="00591958"/>
    <w:rsid w:val="00591DF0"/>
    <w:rsid w:val="00594E3A"/>
    <w:rsid w:val="005C002E"/>
    <w:rsid w:val="005C08B6"/>
    <w:rsid w:val="005C26A4"/>
    <w:rsid w:val="005C3187"/>
    <w:rsid w:val="005C5094"/>
    <w:rsid w:val="005C50EC"/>
    <w:rsid w:val="00613666"/>
    <w:rsid w:val="006146C2"/>
    <w:rsid w:val="00614953"/>
    <w:rsid w:val="00616240"/>
    <w:rsid w:val="00617C4A"/>
    <w:rsid w:val="006324AA"/>
    <w:rsid w:val="00634BA1"/>
    <w:rsid w:val="00634F32"/>
    <w:rsid w:val="00640EFC"/>
    <w:rsid w:val="00646942"/>
    <w:rsid w:val="00650849"/>
    <w:rsid w:val="00665F5B"/>
    <w:rsid w:val="00666D36"/>
    <w:rsid w:val="00666FDA"/>
    <w:rsid w:val="00675334"/>
    <w:rsid w:val="006832A7"/>
    <w:rsid w:val="006868A5"/>
    <w:rsid w:val="00687956"/>
    <w:rsid w:val="00687E78"/>
    <w:rsid w:val="0069588B"/>
    <w:rsid w:val="006B6089"/>
    <w:rsid w:val="006B6A78"/>
    <w:rsid w:val="006C4A47"/>
    <w:rsid w:val="006C7446"/>
    <w:rsid w:val="006D4258"/>
    <w:rsid w:val="006D62A5"/>
    <w:rsid w:val="006E4E37"/>
    <w:rsid w:val="006E6B07"/>
    <w:rsid w:val="00706B95"/>
    <w:rsid w:val="00706D41"/>
    <w:rsid w:val="00706FCD"/>
    <w:rsid w:val="00707C28"/>
    <w:rsid w:val="0071023F"/>
    <w:rsid w:val="007167C4"/>
    <w:rsid w:val="00721D71"/>
    <w:rsid w:val="007221DD"/>
    <w:rsid w:val="007226FD"/>
    <w:rsid w:val="00731ED7"/>
    <w:rsid w:val="00732B24"/>
    <w:rsid w:val="007414CC"/>
    <w:rsid w:val="00745C4E"/>
    <w:rsid w:val="00746B70"/>
    <w:rsid w:val="007532A8"/>
    <w:rsid w:val="00753564"/>
    <w:rsid w:val="00760309"/>
    <w:rsid w:val="00762C10"/>
    <w:rsid w:val="00765914"/>
    <w:rsid w:val="00765B37"/>
    <w:rsid w:val="007711B5"/>
    <w:rsid w:val="00771FA5"/>
    <w:rsid w:val="00775D08"/>
    <w:rsid w:val="007864F7"/>
    <w:rsid w:val="00787458"/>
    <w:rsid w:val="00791519"/>
    <w:rsid w:val="007930B3"/>
    <w:rsid w:val="00795526"/>
    <w:rsid w:val="007A3C62"/>
    <w:rsid w:val="007B2B95"/>
    <w:rsid w:val="007B62E7"/>
    <w:rsid w:val="007C33C9"/>
    <w:rsid w:val="007D1999"/>
    <w:rsid w:val="007D42D1"/>
    <w:rsid w:val="007E4218"/>
    <w:rsid w:val="007F1C1C"/>
    <w:rsid w:val="00817734"/>
    <w:rsid w:val="00833E37"/>
    <w:rsid w:val="008341F9"/>
    <w:rsid w:val="008412D7"/>
    <w:rsid w:val="00841C71"/>
    <w:rsid w:val="008424AD"/>
    <w:rsid w:val="008458E4"/>
    <w:rsid w:val="00855727"/>
    <w:rsid w:val="008575D7"/>
    <w:rsid w:val="00873C23"/>
    <w:rsid w:val="008801B3"/>
    <w:rsid w:val="0088643D"/>
    <w:rsid w:val="0089101C"/>
    <w:rsid w:val="00895589"/>
    <w:rsid w:val="008A5774"/>
    <w:rsid w:val="008B5A61"/>
    <w:rsid w:val="008C17FE"/>
    <w:rsid w:val="008D12AD"/>
    <w:rsid w:val="008D25BA"/>
    <w:rsid w:val="00904044"/>
    <w:rsid w:val="009043E8"/>
    <w:rsid w:val="0090440B"/>
    <w:rsid w:val="0091006F"/>
    <w:rsid w:val="00911575"/>
    <w:rsid w:val="00911A19"/>
    <w:rsid w:val="009216A9"/>
    <w:rsid w:val="00946953"/>
    <w:rsid w:val="00951162"/>
    <w:rsid w:val="00957723"/>
    <w:rsid w:val="00992073"/>
    <w:rsid w:val="00994298"/>
    <w:rsid w:val="009942A1"/>
    <w:rsid w:val="009970CA"/>
    <w:rsid w:val="009A0208"/>
    <w:rsid w:val="009B70FC"/>
    <w:rsid w:val="009B7A6F"/>
    <w:rsid w:val="009D0C44"/>
    <w:rsid w:val="009D22D6"/>
    <w:rsid w:val="009D30BF"/>
    <w:rsid w:val="009D3702"/>
    <w:rsid w:val="009D7E74"/>
    <w:rsid w:val="009E141E"/>
    <w:rsid w:val="009F7DEE"/>
    <w:rsid w:val="00A07659"/>
    <w:rsid w:val="00A14E3D"/>
    <w:rsid w:val="00A20F48"/>
    <w:rsid w:val="00A3056B"/>
    <w:rsid w:val="00A31843"/>
    <w:rsid w:val="00A337BF"/>
    <w:rsid w:val="00A3453C"/>
    <w:rsid w:val="00A4053C"/>
    <w:rsid w:val="00A4437A"/>
    <w:rsid w:val="00A443EE"/>
    <w:rsid w:val="00A53642"/>
    <w:rsid w:val="00A648E5"/>
    <w:rsid w:val="00A6668C"/>
    <w:rsid w:val="00A701DA"/>
    <w:rsid w:val="00A70356"/>
    <w:rsid w:val="00A70F6C"/>
    <w:rsid w:val="00A7374B"/>
    <w:rsid w:val="00A80876"/>
    <w:rsid w:val="00A82C22"/>
    <w:rsid w:val="00A878FC"/>
    <w:rsid w:val="00AA1A8A"/>
    <w:rsid w:val="00AA4A8A"/>
    <w:rsid w:val="00AA7818"/>
    <w:rsid w:val="00AB17D5"/>
    <w:rsid w:val="00AC1D70"/>
    <w:rsid w:val="00AE4DB4"/>
    <w:rsid w:val="00AE574D"/>
    <w:rsid w:val="00AF1D2A"/>
    <w:rsid w:val="00AF347F"/>
    <w:rsid w:val="00AF3B62"/>
    <w:rsid w:val="00B0131C"/>
    <w:rsid w:val="00B0546D"/>
    <w:rsid w:val="00B15F48"/>
    <w:rsid w:val="00B34D6B"/>
    <w:rsid w:val="00B375B4"/>
    <w:rsid w:val="00B54D76"/>
    <w:rsid w:val="00B55851"/>
    <w:rsid w:val="00B70957"/>
    <w:rsid w:val="00B73C30"/>
    <w:rsid w:val="00B76D42"/>
    <w:rsid w:val="00B77507"/>
    <w:rsid w:val="00B80A55"/>
    <w:rsid w:val="00B855E8"/>
    <w:rsid w:val="00B95311"/>
    <w:rsid w:val="00B96EB6"/>
    <w:rsid w:val="00BA14F1"/>
    <w:rsid w:val="00BB678E"/>
    <w:rsid w:val="00BB6EC9"/>
    <w:rsid w:val="00BC0AA7"/>
    <w:rsid w:val="00BC2D28"/>
    <w:rsid w:val="00BD0528"/>
    <w:rsid w:val="00BD08FD"/>
    <w:rsid w:val="00BD6B80"/>
    <w:rsid w:val="00BE22AB"/>
    <w:rsid w:val="00BE3123"/>
    <w:rsid w:val="00BF39AF"/>
    <w:rsid w:val="00C06589"/>
    <w:rsid w:val="00C14885"/>
    <w:rsid w:val="00C2730C"/>
    <w:rsid w:val="00C302F6"/>
    <w:rsid w:val="00C34822"/>
    <w:rsid w:val="00C34ED0"/>
    <w:rsid w:val="00C41339"/>
    <w:rsid w:val="00C42D93"/>
    <w:rsid w:val="00C43AEF"/>
    <w:rsid w:val="00C44271"/>
    <w:rsid w:val="00C514DC"/>
    <w:rsid w:val="00C746A5"/>
    <w:rsid w:val="00C75A98"/>
    <w:rsid w:val="00C84A2B"/>
    <w:rsid w:val="00C95CE5"/>
    <w:rsid w:val="00C96175"/>
    <w:rsid w:val="00CA2B5A"/>
    <w:rsid w:val="00CA74EB"/>
    <w:rsid w:val="00CC190C"/>
    <w:rsid w:val="00CD6ED9"/>
    <w:rsid w:val="00CE5FC3"/>
    <w:rsid w:val="00D04B91"/>
    <w:rsid w:val="00D14A03"/>
    <w:rsid w:val="00D27BFE"/>
    <w:rsid w:val="00D356A6"/>
    <w:rsid w:val="00D37E33"/>
    <w:rsid w:val="00D47B87"/>
    <w:rsid w:val="00D5655E"/>
    <w:rsid w:val="00D60A2F"/>
    <w:rsid w:val="00D66432"/>
    <w:rsid w:val="00D67582"/>
    <w:rsid w:val="00D7313A"/>
    <w:rsid w:val="00D77E57"/>
    <w:rsid w:val="00D85CC9"/>
    <w:rsid w:val="00D903B9"/>
    <w:rsid w:val="00D920E0"/>
    <w:rsid w:val="00DA4605"/>
    <w:rsid w:val="00DA6268"/>
    <w:rsid w:val="00DA6DE6"/>
    <w:rsid w:val="00DB0449"/>
    <w:rsid w:val="00DC34EC"/>
    <w:rsid w:val="00DC6D49"/>
    <w:rsid w:val="00DD2261"/>
    <w:rsid w:val="00DD34A6"/>
    <w:rsid w:val="00DE0012"/>
    <w:rsid w:val="00E0023D"/>
    <w:rsid w:val="00E03C01"/>
    <w:rsid w:val="00E076AB"/>
    <w:rsid w:val="00E11F1D"/>
    <w:rsid w:val="00E1417C"/>
    <w:rsid w:val="00E216ED"/>
    <w:rsid w:val="00E279C6"/>
    <w:rsid w:val="00E379CB"/>
    <w:rsid w:val="00E51836"/>
    <w:rsid w:val="00E55759"/>
    <w:rsid w:val="00E5684B"/>
    <w:rsid w:val="00E71E1D"/>
    <w:rsid w:val="00E745E5"/>
    <w:rsid w:val="00E75FDA"/>
    <w:rsid w:val="00E825A1"/>
    <w:rsid w:val="00E932F5"/>
    <w:rsid w:val="00E97EB0"/>
    <w:rsid w:val="00EA0B89"/>
    <w:rsid w:val="00EA4C80"/>
    <w:rsid w:val="00EA664E"/>
    <w:rsid w:val="00EA6708"/>
    <w:rsid w:val="00EB4113"/>
    <w:rsid w:val="00EB6178"/>
    <w:rsid w:val="00EC05C9"/>
    <w:rsid w:val="00EC7C85"/>
    <w:rsid w:val="00ED176D"/>
    <w:rsid w:val="00ED2447"/>
    <w:rsid w:val="00ED6122"/>
    <w:rsid w:val="00EF4D3D"/>
    <w:rsid w:val="00F01470"/>
    <w:rsid w:val="00F07582"/>
    <w:rsid w:val="00F11747"/>
    <w:rsid w:val="00F11D98"/>
    <w:rsid w:val="00F20707"/>
    <w:rsid w:val="00F20C99"/>
    <w:rsid w:val="00F34EA2"/>
    <w:rsid w:val="00F370D3"/>
    <w:rsid w:val="00F41CEA"/>
    <w:rsid w:val="00F420CF"/>
    <w:rsid w:val="00F43F64"/>
    <w:rsid w:val="00F44442"/>
    <w:rsid w:val="00F51A3B"/>
    <w:rsid w:val="00F53BF9"/>
    <w:rsid w:val="00F53D65"/>
    <w:rsid w:val="00F62329"/>
    <w:rsid w:val="00F634D3"/>
    <w:rsid w:val="00F65128"/>
    <w:rsid w:val="00F80618"/>
    <w:rsid w:val="00F8214C"/>
    <w:rsid w:val="00F85A09"/>
    <w:rsid w:val="00F91C71"/>
    <w:rsid w:val="00F97853"/>
    <w:rsid w:val="00FA530B"/>
    <w:rsid w:val="00FA7D0B"/>
    <w:rsid w:val="00FB38D2"/>
    <w:rsid w:val="00FB750C"/>
    <w:rsid w:val="00FC0255"/>
    <w:rsid w:val="00FD52AE"/>
    <w:rsid w:val="00FE26CE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CFD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3B55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FB38D2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FB38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FB38D2"/>
    <w:rPr>
      <w:sz w:val="18"/>
      <w:szCs w:val="18"/>
    </w:rPr>
  </w:style>
  <w:style w:type="paragraph" w:customStyle="1" w:styleId="EndNoteBibliography">
    <w:name w:val="EndNote Bibliography"/>
    <w:basedOn w:val="Normln"/>
    <w:link w:val="EndNoteBibliography0"/>
    <w:rsid w:val="0042421C"/>
    <w:pPr>
      <w:jc w:val="both"/>
    </w:pPr>
    <w:rPr>
      <w:rFonts w:ascii="Calibri" w:hAnsi="Calibri" w:cs="Calibri"/>
      <w:noProof/>
    </w:rPr>
  </w:style>
  <w:style w:type="character" w:customStyle="1" w:styleId="EndNoteBibliography0">
    <w:name w:val="EndNote Bibliography 字符"/>
    <w:basedOn w:val="Standardnpsmoodstavce"/>
    <w:link w:val="EndNoteBibliography"/>
    <w:rsid w:val="0042421C"/>
    <w:rPr>
      <w:rFonts w:ascii="Calibri" w:hAnsi="Calibri" w:cs="Calibri"/>
      <w:noProof/>
    </w:rPr>
  </w:style>
  <w:style w:type="character" w:styleId="Hypertextovodkaz">
    <w:name w:val="Hyperlink"/>
    <w:basedOn w:val="Standardnpsmoodstavce"/>
    <w:uiPriority w:val="99"/>
    <w:unhideWhenUsed/>
    <w:rsid w:val="003E7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7606/j.issn.1009-1041.2021.09.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Yu</dc:creator>
  <cp:keywords/>
  <dc:description/>
  <cp:lastModifiedBy>Martin Spousta</cp:lastModifiedBy>
  <cp:revision>3</cp:revision>
  <dcterms:created xsi:type="dcterms:W3CDTF">2022-09-12T11:12:00Z</dcterms:created>
  <dcterms:modified xsi:type="dcterms:W3CDTF">2022-09-12T11:34:00Z</dcterms:modified>
</cp:coreProperties>
</file>