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3F442" w14:textId="76582D74" w:rsidR="00301C5C" w:rsidRDefault="00301C5C" w:rsidP="00301C5C">
      <w:pPr>
        <w:rPr>
          <w:rFonts w:ascii="Times New Roman" w:hAnsi="Times New Roman" w:cs="Times New Roman"/>
          <w:b/>
          <w:sz w:val="24"/>
          <w:szCs w:val="24"/>
          <w:lang w:val="cs-CZ"/>
        </w:rPr>
      </w:pPr>
      <w:r w:rsidRPr="0025659E">
        <w:rPr>
          <w:rFonts w:ascii="Times New Roman" w:hAnsi="Times New Roman" w:cs="Times New Roman"/>
          <w:b/>
          <w:sz w:val="24"/>
          <w:szCs w:val="24"/>
          <w:lang w:val="cs-CZ"/>
        </w:rPr>
        <w:t xml:space="preserve">Supplementary </w:t>
      </w:r>
      <w:r>
        <w:rPr>
          <w:rFonts w:ascii="Times New Roman" w:hAnsi="Times New Roman" w:cs="Times New Roman"/>
          <w:b/>
          <w:sz w:val="24"/>
          <w:szCs w:val="24"/>
          <w:lang w:val="cs-CZ"/>
        </w:rPr>
        <w:t>d</w:t>
      </w:r>
      <w:r w:rsidRPr="0025659E">
        <w:rPr>
          <w:rFonts w:ascii="Times New Roman" w:hAnsi="Times New Roman" w:cs="Times New Roman"/>
          <w:b/>
          <w:sz w:val="24"/>
          <w:szCs w:val="24"/>
          <w:lang w:val="cs-CZ"/>
        </w:rPr>
        <w:t>ata</w:t>
      </w:r>
    </w:p>
    <w:p w14:paraId="79545D61" w14:textId="77777777" w:rsidR="00301C5C" w:rsidRDefault="00301C5C" w:rsidP="000D5A17">
      <w:pPr>
        <w:spacing w:line="480" w:lineRule="auto"/>
        <w:rPr>
          <w:rFonts w:ascii="Times New Roman" w:hAnsi="Times New Roman" w:cs="Times New Roman"/>
          <w:b/>
          <w:sz w:val="24"/>
          <w:szCs w:val="24"/>
        </w:rPr>
      </w:pPr>
    </w:p>
    <w:p w14:paraId="6E6279AF" w14:textId="4E1E3E99" w:rsidR="000D5A17" w:rsidRPr="000D5A17" w:rsidRDefault="000D5A17" w:rsidP="000D5A17">
      <w:pPr>
        <w:spacing w:line="480" w:lineRule="auto"/>
        <w:rPr>
          <w:rFonts w:ascii="Times New Roman" w:hAnsi="Times New Roman" w:cs="Times New Roman"/>
          <w:b/>
          <w:sz w:val="24"/>
          <w:szCs w:val="24"/>
        </w:rPr>
      </w:pPr>
      <w:r w:rsidRPr="000D5A17">
        <w:rPr>
          <w:rFonts w:ascii="Times New Roman" w:hAnsi="Times New Roman" w:cs="Times New Roman"/>
          <w:b/>
          <w:sz w:val="24"/>
          <w:szCs w:val="24"/>
        </w:rPr>
        <w:t>Response of leaf internal CO</w:t>
      </w:r>
      <w:r w:rsidRPr="000D5A17">
        <w:rPr>
          <w:rFonts w:ascii="Times New Roman" w:hAnsi="Times New Roman" w:cs="Times New Roman"/>
          <w:b/>
          <w:sz w:val="24"/>
          <w:szCs w:val="24"/>
          <w:vertAlign w:val="subscript"/>
        </w:rPr>
        <w:t>2</w:t>
      </w:r>
      <w:r w:rsidRPr="000D5A17">
        <w:rPr>
          <w:rFonts w:ascii="Times New Roman" w:hAnsi="Times New Roman" w:cs="Times New Roman"/>
          <w:b/>
          <w:sz w:val="24"/>
          <w:szCs w:val="24"/>
        </w:rPr>
        <w:t xml:space="preserve"> concentration and intrinsic water use efficiency in Norway spruce to century-long gradual CO</w:t>
      </w:r>
      <w:r w:rsidRPr="000D5A17">
        <w:rPr>
          <w:rFonts w:ascii="Times New Roman" w:hAnsi="Times New Roman" w:cs="Times New Roman"/>
          <w:b/>
          <w:sz w:val="24"/>
          <w:szCs w:val="24"/>
          <w:vertAlign w:val="subscript"/>
        </w:rPr>
        <w:t>2</w:t>
      </w:r>
      <w:r w:rsidRPr="000D5A17">
        <w:rPr>
          <w:rFonts w:ascii="Times New Roman" w:hAnsi="Times New Roman" w:cs="Times New Roman"/>
          <w:b/>
          <w:sz w:val="24"/>
          <w:szCs w:val="24"/>
        </w:rPr>
        <w:t xml:space="preserve"> elevation</w:t>
      </w:r>
    </w:p>
    <w:p w14:paraId="6F138ACC" w14:textId="77777777" w:rsidR="000D5A17" w:rsidRDefault="000D5A17">
      <w:pPr>
        <w:rPr>
          <w:rFonts w:ascii="Times New Roman" w:hAnsi="Times New Roman" w:cs="Times New Roman"/>
          <w:b/>
          <w:sz w:val="24"/>
          <w:szCs w:val="24"/>
          <w:lang w:val="cs-CZ"/>
        </w:rPr>
      </w:pPr>
    </w:p>
    <w:p w14:paraId="286DBFDB" w14:textId="5646C031" w:rsidR="00D95512" w:rsidRDefault="00877109" w:rsidP="00685205">
      <w:pPr>
        <w:jc w:val="both"/>
        <w:rPr>
          <w:b/>
          <w:lang w:val="en-GB"/>
        </w:rPr>
      </w:pPr>
      <w:r>
        <w:rPr>
          <w:b/>
          <w:noProof/>
          <w:lang w:val="cs-CZ" w:eastAsia="cs-CZ"/>
        </w:rPr>
        <w:lastRenderedPageBreak/>
        <w:drawing>
          <wp:inline distT="0" distB="0" distL="0" distR="0" wp14:anchorId="7347E9C5" wp14:editId="4B3F0E62">
            <wp:extent cx="5760720" cy="7090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In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090410"/>
                    </a:xfrm>
                    <a:prstGeom prst="rect">
                      <a:avLst/>
                    </a:prstGeom>
                  </pic:spPr>
                </pic:pic>
              </a:graphicData>
            </a:graphic>
          </wp:inline>
        </w:drawing>
      </w:r>
    </w:p>
    <w:p w14:paraId="0D4A0F6C" w14:textId="23AA9BA9" w:rsidR="00EE57A3" w:rsidRDefault="00EE57A3" w:rsidP="00685205">
      <w:pPr>
        <w:jc w:val="both"/>
        <w:rPr>
          <w:b/>
          <w:lang w:val="en-GB"/>
        </w:rPr>
      </w:pPr>
    </w:p>
    <w:p w14:paraId="5EC53DF4" w14:textId="47AF76F9" w:rsidR="003534D6" w:rsidRPr="00301C5C" w:rsidRDefault="00301C5C"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Fig. </w:t>
      </w:r>
      <w:r w:rsidR="00A90B3A" w:rsidRPr="00301C5C">
        <w:rPr>
          <w:rFonts w:ascii="Times New Roman" w:hAnsi="Times New Roman" w:cs="Times New Roman"/>
          <w:sz w:val="20"/>
          <w:szCs w:val="20"/>
        </w:rPr>
        <w:t>1</w:t>
      </w:r>
      <w:r>
        <w:rPr>
          <w:rFonts w:ascii="Times New Roman" w:hAnsi="Times New Roman" w:cs="Times New Roman"/>
          <w:sz w:val="20"/>
          <w:szCs w:val="20"/>
        </w:rPr>
        <w:t>S.</w:t>
      </w:r>
      <w:r w:rsidR="00A90B3A" w:rsidRPr="00301C5C">
        <w:rPr>
          <w:rFonts w:ascii="Times New Roman" w:hAnsi="Times New Roman" w:cs="Times New Roman"/>
          <w:sz w:val="20"/>
          <w:szCs w:val="20"/>
        </w:rPr>
        <w:t xml:space="preserve"> Hundred-year courses of temperature, precipitation</w:t>
      </w:r>
      <w:r>
        <w:rPr>
          <w:rFonts w:ascii="Times New Roman" w:hAnsi="Times New Roman" w:cs="Times New Roman"/>
          <w:sz w:val="20"/>
          <w:szCs w:val="20"/>
        </w:rPr>
        <w:t>,</w:t>
      </w:r>
      <w:r w:rsidR="00A90B3A" w:rsidRPr="00301C5C">
        <w:rPr>
          <w:rFonts w:ascii="Times New Roman" w:hAnsi="Times New Roman" w:cs="Times New Roman"/>
          <w:sz w:val="20"/>
          <w:szCs w:val="20"/>
        </w:rPr>
        <w:t xml:space="preserve"> and SPEI in Central Europe (Czech Republic).</w:t>
      </w:r>
      <w:r>
        <w:rPr>
          <w:rFonts w:ascii="Times New Roman" w:hAnsi="Times New Roman" w:cs="Times New Roman"/>
          <w:sz w:val="20"/>
          <w:szCs w:val="20"/>
        </w:rPr>
        <w:t xml:space="preserve"> </w:t>
      </w:r>
      <w:r w:rsidR="00EE7598" w:rsidRPr="00301C5C">
        <w:rPr>
          <w:rFonts w:ascii="Times New Roman" w:hAnsi="Times New Roman" w:cs="Times New Roman"/>
          <w:sz w:val="20"/>
          <w:szCs w:val="20"/>
          <w:lang w:val="en-GB"/>
        </w:rPr>
        <w:t xml:space="preserve">Means, </w:t>
      </w:r>
      <w:r w:rsidR="00F37DC8" w:rsidRPr="00301C5C">
        <w:rPr>
          <w:rFonts w:ascii="Times New Roman" w:hAnsi="Times New Roman" w:cs="Times New Roman"/>
          <w:sz w:val="20"/>
          <w:szCs w:val="20"/>
          <w:lang w:val="en-GB"/>
        </w:rPr>
        <w:t>25</w:t>
      </w:r>
      <w:r w:rsidR="00F37DC8" w:rsidRPr="00301C5C">
        <w:rPr>
          <w:rFonts w:ascii="Times New Roman" w:hAnsi="Times New Roman" w:cs="Times New Roman"/>
          <w:sz w:val="20"/>
          <w:szCs w:val="20"/>
          <w:vertAlign w:val="superscript"/>
          <w:lang w:val="en-GB"/>
        </w:rPr>
        <w:t>th</w:t>
      </w:r>
      <w:r w:rsidR="00F37DC8" w:rsidRPr="00301C5C">
        <w:rPr>
          <w:rFonts w:ascii="Times New Roman" w:hAnsi="Times New Roman" w:cs="Times New Roman"/>
          <w:sz w:val="20"/>
          <w:szCs w:val="20"/>
          <w:lang w:val="en-GB"/>
        </w:rPr>
        <w:t xml:space="preserve"> and 75</w:t>
      </w:r>
      <w:r w:rsidR="00F37DC8" w:rsidRPr="00301C5C">
        <w:rPr>
          <w:rFonts w:ascii="Times New Roman" w:hAnsi="Times New Roman" w:cs="Times New Roman"/>
          <w:sz w:val="20"/>
          <w:szCs w:val="20"/>
          <w:vertAlign w:val="superscript"/>
          <w:lang w:val="en-GB"/>
        </w:rPr>
        <w:t>th</w:t>
      </w:r>
      <w:r w:rsidR="00F37DC8" w:rsidRPr="00301C5C">
        <w:rPr>
          <w:rFonts w:ascii="Times New Roman" w:hAnsi="Times New Roman" w:cs="Times New Roman"/>
          <w:sz w:val="20"/>
          <w:szCs w:val="20"/>
          <w:lang w:val="en-GB"/>
        </w:rPr>
        <w:t xml:space="preserve"> </w:t>
      </w:r>
      <w:r w:rsidR="00EE7598" w:rsidRPr="00301C5C">
        <w:rPr>
          <w:rFonts w:ascii="Times New Roman" w:hAnsi="Times New Roman" w:cs="Times New Roman"/>
          <w:sz w:val="20"/>
          <w:szCs w:val="20"/>
          <w:lang w:val="en-GB"/>
        </w:rPr>
        <w:t>quantiles and extremes are shown for winter (upper r</w:t>
      </w:r>
      <w:r w:rsidR="003534D6" w:rsidRPr="00301C5C">
        <w:rPr>
          <w:rFonts w:ascii="Times New Roman" w:hAnsi="Times New Roman" w:cs="Times New Roman"/>
          <w:sz w:val="20"/>
          <w:szCs w:val="20"/>
          <w:lang w:val="en-GB"/>
        </w:rPr>
        <w:t>o</w:t>
      </w:r>
      <w:r w:rsidR="00EE7598" w:rsidRPr="00301C5C">
        <w:rPr>
          <w:rFonts w:ascii="Times New Roman" w:hAnsi="Times New Roman" w:cs="Times New Roman"/>
          <w:sz w:val="20"/>
          <w:szCs w:val="20"/>
          <w:lang w:val="en-GB"/>
        </w:rPr>
        <w:t>w</w:t>
      </w:r>
      <w:r w:rsidR="00F37DC8" w:rsidRPr="00301C5C">
        <w:rPr>
          <w:rFonts w:ascii="Times New Roman" w:hAnsi="Times New Roman" w:cs="Times New Roman"/>
          <w:sz w:val="20"/>
          <w:szCs w:val="20"/>
          <w:lang w:val="en-GB"/>
        </w:rPr>
        <w:t xml:space="preserve"> of panels</w:t>
      </w:r>
      <w:r w:rsidR="00EE7598" w:rsidRPr="00301C5C">
        <w:rPr>
          <w:rFonts w:ascii="Times New Roman" w:hAnsi="Times New Roman" w:cs="Times New Roman"/>
          <w:sz w:val="20"/>
          <w:szCs w:val="20"/>
          <w:lang w:val="en-GB"/>
        </w:rPr>
        <w:t>), spring (2</w:t>
      </w:r>
      <w:r w:rsidR="00EE7598" w:rsidRPr="00301C5C">
        <w:rPr>
          <w:rFonts w:ascii="Times New Roman" w:hAnsi="Times New Roman" w:cs="Times New Roman"/>
          <w:sz w:val="20"/>
          <w:szCs w:val="20"/>
          <w:vertAlign w:val="superscript"/>
          <w:lang w:val="en-GB"/>
        </w:rPr>
        <w:t>nd</w:t>
      </w:r>
      <w:r w:rsidR="00EE7598" w:rsidRPr="00301C5C">
        <w:rPr>
          <w:rFonts w:ascii="Times New Roman" w:hAnsi="Times New Roman" w:cs="Times New Roman"/>
          <w:sz w:val="20"/>
          <w:szCs w:val="20"/>
          <w:lang w:val="en-GB"/>
        </w:rPr>
        <w:t xml:space="preserve"> r</w:t>
      </w:r>
      <w:r w:rsidR="003534D6" w:rsidRPr="00301C5C">
        <w:rPr>
          <w:rFonts w:ascii="Times New Roman" w:hAnsi="Times New Roman" w:cs="Times New Roman"/>
          <w:sz w:val="20"/>
          <w:szCs w:val="20"/>
          <w:lang w:val="en-GB"/>
        </w:rPr>
        <w:t>o</w:t>
      </w:r>
      <w:r w:rsidR="00F37DC8" w:rsidRPr="00301C5C">
        <w:rPr>
          <w:rFonts w:ascii="Times New Roman" w:hAnsi="Times New Roman" w:cs="Times New Roman"/>
          <w:sz w:val="20"/>
          <w:szCs w:val="20"/>
          <w:lang w:val="en-GB"/>
        </w:rPr>
        <w:t>w</w:t>
      </w:r>
      <w:r w:rsidR="00EE7598" w:rsidRPr="00301C5C">
        <w:rPr>
          <w:rFonts w:ascii="Times New Roman" w:hAnsi="Times New Roman" w:cs="Times New Roman"/>
          <w:sz w:val="20"/>
          <w:szCs w:val="20"/>
          <w:lang w:val="en-GB"/>
        </w:rPr>
        <w:t>)</w:t>
      </w:r>
      <w:r w:rsidR="00F37DC8" w:rsidRPr="00301C5C">
        <w:rPr>
          <w:rFonts w:ascii="Times New Roman" w:hAnsi="Times New Roman" w:cs="Times New Roman"/>
          <w:sz w:val="20"/>
          <w:szCs w:val="20"/>
          <w:lang w:val="en-GB"/>
        </w:rPr>
        <w:t>,</w:t>
      </w:r>
      <w:r w:rsidR="00EE7598" w:rsidRPr="00301C5C">
        <w:rPr>
          <w:rFonts w:ascii="Times New Roman" w:hAnsi="Times New Roman" w:cs="Times New Roman"/>
          <w:sz w:val="20"/>
          <w:szCs w:val="20"/>
          <w:lang w:val="en-GB"/>
        </w:rPr>
        <w:t xml:space="preserve"> summer (3</w:t>
      </w:r>
      <w:r w:rsidR="00EE7598" w:rsidRPr="00301C5C">
        <w:rPr>
          <w:rFonts w:ascii="Times New Roman" w:hAnsi="Times New Roman" w:cs="Times New Roman"/>
          <w:sz w:val="20"/>
          <w:szCs w:val="20"/>
          <w:vertAlign w:val="superscript"/>
          <w:lang w:val="en-GB"/>
        </w:rPr>
        <w:t>rd</w:t>
      </w:r>
      <w:r w:rsidR="00EE7598" w:rsidRPr="00301C5C">
        <w:rPr>
          <w:rFonts w:ascii="Times New Roman" w:hAnsi="Times New Roman" w:cs="Times New Roman"/>
          <w:sz w:val="20"/>
          <w:szCs w:val="20"/>
          <w:lang w:val="en-GB"/>
        </w:rPr>
        <w:t xml:space="preserve"> r</w:t>
      </w:r>
      <w:r w:rsidR="003534D6" w:rsidRPr="00301C5C">
        <w:rPr>
          <w:rFonts w:ascii="Times New Roman" w:hAnsi="Times New Roman" w:cs="Times New Roman"/>
          <w:sz w:val="20"/>
          <w:szCs w:val="20"/>
          <w:lang w:val="en-GB"/>
        </w:rPr>
        <w:t>o</w:t>
      </w:r>
      <w:r w:rsidR="00EE7598" w:rsidRPr="00301C5C">
        <w:rPr>
          <w:rFonts w:ascii="Times New Roman" w:hAnsi="Times New Roman" w:cs="Times New Roman"/>
          <w:sz w:val="20"/>
          <w:szCs w:val="20"/>
          <w:lang w:val="en-GB"/>
        </w:rPr>
        <w:t>w) and the whole year (bottom</w:t>
      </w:r>
      <w:r w:rsidR="003534D6" w:rsidRPr="00301C5C">
        <w:rPr>
          <w:rFonts w:ascii="Times New Roman" w:hAnsi="Times New Roman" w:cs="Times New Roman"/>
          <w:sz w:val="20"/>
          <w:szCs w:val="20"/>
          <w:lang w:val="en-GB"/>
        </w:rPr>
        <w:t xml:space="preserve"> row</w:t>
      </w:r>
      <w:r w:rsidR="00EE7598" w:rsidRPr="00301C5C">
        <w:rPr>
          <w:rFonts w:ascii="Times New Roman" w:hAnsi="Times New Roman" w:cs="Times New Roman"/>
          <w:sz w:val="20"/>
          <w:szCs w:val="20"/>
          <w:lang w:val="en-GB"/>
        </w:rPr>
        <w:t>)</w:t>
      </w:r>
      <w:r w:rsidR="00F37DC8" w:rsidRPr="00301C5C">
        <w:rPr>
          <w:rFonts w:ascii="Times New Roman" w:hAnsi="Times New Roman" w:cs="Times New Roman"/>
          <w:sz w:val="20"/>
          <w:szCs w:val="20"/>
          <w:lang w:val="en-GB"/>
        </w:rPr>
        <w:t>.</w:t>
      </w:r>
      <w:r w:rsidR="00BC7665" w:rsidRPr="00301C5C">
        <w:rPr>
          <w:rFonts w:ascii="Times New Roman" w:hAnsi="Times New Roman" w:cs="Times New Roman"/>
          <w:sz w:val="20"/>
          <w:szCs w:val="20"/>
          <w:lang w:val="en-GB"/>
        </w:rPr>
        <w:t xml:space="preserve"> A set of measured and/or approximated data for our 51 spruce sampling sites (</w:t>
      </w:r>
      <w:r w:rsidR="003C7A9F" w:rsidRPr="00301C5C">
        <w:rPr>
          <w:rFonts w:ascii="Times New Roman" w:hAnsi="Times New Roman" w:cs="Times New Roman"/>
          <w:i/>
          <w:sz w:val="20"/>
          <w:szCs w:val="20"/>
          <w:lang w:val="en-GB"/>
        </w:rPr>
        <w:t>see</w:t>
      </w:r>
      <w:r w:rsidR="003C7A9F" w:rsidRPr="00301C5C">
        <w:rPr>
          <w:rFonts w:ascii="Times New Roman" w:hAnsi="Times New Roman" w:cs="Times New Roman"/>
          <w:sz w:val="20"/>
          <w:szCs w:val="20"/>
          <w:lang w:val="en-GB"/>
        </w:rPr>
        <w:t xml:space="preserve"> </w:t>
      </w:r>
      <w:r w:rsidR="00BC7665" w:rsidRPr="00301C5C">
        <w:rPr>
          <w:rFonts w:ascii="Times New Roman" w:hAnsi="Times New Roman" w:cs="Times New Roman"/>
          <w:sz w:val="20"/>
          <w:szCs w:val="20"/>
          <w:lang w:val="en-GB"/>
        </w:rPr>
        <w:t>Fig. 1</w:t>
      </w:r>
      <w:r w:rsidR="003C7A9F" w:rsidRPr="00301C5C">
        <w:rPr>
          <w:rFonts w:ascii="Times New Roman" w:hAnsi="Times New Roman" w:cs="Times New Roman"/>
          <w:sz w:val="20"/>
          <w:szCs w:val="20"/>
          <w:lang w:val="en-GB"/>
        </w:rPr>
        <w:t xml:space="preserve"> for their locations</w:t>
      </w:r>
      <w:r w:rsidR="00BC7665" w:rsidRPr="00301C5C">
        <w:rPr>
          <w:rFonts w:ascii="Times New Roman" w:hAnsi="Times New Roman" w:cs="Times New Roman"/>
          <w:sz w:val="20"/>
          <w:szCs w:val="20"/>
          <w:lang w:val="en-GB"/>
        </w:rPr>
        <w:t>) was used for the calculations.</w:t>
      </w:r>
    </w:p>
    <w:p w14:paraId="47A1069C" w14:textId="65182D60" w:rsidR="00ED456F" w:rsidRPr="00301C5C" w:rsidRDefault="00ED456F" w:rsidP="00301C5C">
      <w:pPr>
        <w:spacing w:after="0" w:line="240" w:lineRule="auto"/>
        <w:contextualSpacing/>
        <w:jc w:val="both"/>
        <w:rPr>
          <w:rFonts w:ascii="Times New Roman" w:hAnsi="Times New Roman" w:cs="Times New Roman"/>
          <w:sz w:val="20"/>
          <w:szCs w:val="20"/>
          <w:lang w:val="en-GB"/>
        </w:rPr>
      </w:pPr>
      <w:r w:rsidRPr="00301C5C">
        <w:rPr>
          <w:rFonts w:ascii="Times New Roman" w:hAnsi="Times New Roman" w:cs="Times New Roman"/>
          <w:noProof/>
          <w:sz w:val="20"/>
          <w:szCs w:val="20"/>
          <w:lang w:val="cs-CZ" w:eastAsia="cs-CZ"/>
        </w:rPr>
        <w:lastRenderedPageBreak/>
        <w:drawing>
          <wp:inline distT="0" distB="0" distL="0" distR="0" wp14:anchorId="31740D18" wp14:editId="125DA58D">
            <wp:extent cx="3373200" cy="67428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3200" cy="6742800"/>
                    </a:xfrm>
                    <a:prstGeom prst="rect">
                      <a:avLst/>
                    </a:prstGeom>
                  </pic:spPr>
                </pic:pic>
              </a:graphicData>
            </a:graphic>
          </wp:inline>
        </w:drawing>
      </w:r>
    </w:p>
    <w:p w14:paraId="22068048" w14:textId="77777777" w:rsidR="00ED456F" w:rsidRPr="00301C5C" w:rsidRDefault="00ED456F" w:rsidP="00301C5C">
      <w:pPr>
        <w:spacing w:after="0" w:line="240" w:lineRule="auto"/>
        <w:contextualSpacing/>
        <w:jc w:val="both"/>
        <w:rPr>
          <w:rFonts w:ascii="Times New Roman" w:hAnsi="Times New Roman" w:cs="Times New Roman"/>
          <w:sz w:val="20"/>
          <w:szCs w:val="20"/>
          <w:lang w:val="en-GB"/>
        </w:rPr>
      </w:pPr>
    </w:p>
    <w:p w14:paraId="082227BF" w14:textId="1F0E7DDA" w:rsidR="00001948" w:rsidRPr="00301C5C" w:rsidRDefault="00301C5C"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Fig. </w:t>
      </w:r>
      <w:r w:rsidR="00A90B3A" w:rsidRPr="00301C5C">
        <w:rPr>
          <w:rFonts w:ascii="Times New Roman" w:hAnsi="Times New Roman" w:cs="Times New Roman"/>
          <w:sz w:val="20"/>
          <w:szCs w:val="20"/>
        </w:rPr>
        <w:t>2</w:t>
      </w:r>
      <w:r>
        <w:rPr>
          <w:rFonts w:ascii="Times New Roman" w:hAnsi="Times New Roman" w:cs="Times New Roman"/>
          <w:sz w:val="20"/>
          <w:szCs w:val="20"/>
        </w:rPr>
        <w:t>S.</w:t>
      </w:r>
      <w:r w:rsidR="00A90B3A" w:rsidRPr="00301C5C">
        <w:rPr>
          <w:rFonts w:ascii="Times New Roman" w:hAnsi="Times New Roman" w:cs="Times New Roman"/>
          <w:sz w:val="20"/>
          <w:szCs w:val="20"/>
        </w:rPr>
        <w:t xml:space="preserve"> Wafer plots of annual deposition rates of SO</w:t>
      </w:r>
      <w:r w:rsidR="00A90B3A" w:rsidRPr="00301C5C">
        <w:rPr>
          <w:rFonts w:ascii="Times New Roman" w:hAnsi="Times New Roman" w:cs="Times New Roman"/>
          <w:sz w:val="20"/>
          <w:szCs w:val="20"/>
          <w:vertAlign w:val="subscript"/>
        </w:rPr>
        <w:t>4</w:t>
      </w:r>
      <w:r w:rsidR="00A90B3A" w:rsidRPr="00301C5C">
        <w:rPr>
          <w:rFonts w:ascii="Times New Roman" w:hAnsi="Times New Roman" w:cs="Times New Roman"/>
          <w:sz w:val="20"/>
          <w:szCs w:val="20"/>
          <w:vertAlign w:val="superscript"/>
        </w:rPr>
        <w:t>2</w:t>
      </w:r>
      <w:r>
        <w:rPr>
          <w:rFonts w:ascii="Times New Roman" w:hAnsi="Times New Roman" w:cs="Times New Roman"/>
          <w:sz w:val="20"/>
          <w:szCs w:val="20"/>
          <w:vertAlign w:val="superscript"/>
        </w:rPr>
        <w:t>–</w:t>
      </w:r>
      <w:r w:rsidR="00A90B3A" w:rsidRPr="00301C5C">
        <w:rPr>
          <w:rFonts w:ascii="Times New Roman" w:hAnsi="Times New Roman" w:cs="Times New Roman"/>
          <w:sz w:val="20"/>
          <w:szCs w:val="20"/>
        </w:rPr>
        <w:t xml:space="preserve"> (</w:t>
      </w:r>
      <w:r w:rsidR="00A90B3A" w:rsidRPr="00301C5C">
        <w:rPr>
          <w:rFonts w:ascii="Times New Roman" w:hAnsi="Times New Roman" w:cs="Times New Roman"/>
          <w:i/>
          <w:sz w:val="20"/>
          <w:szCs w:val="20"/>
        </w:rPr>
        <w:t>A</w:t>
      </w:r>
      <w:r w:rsidR="00A90B3A" w:rsidRPr="00301C5C">
        <w:rPr>
          <w:rFonts w:ascii="Times New Roman" w:hAnsi="Times New Roman" w:cs="Times New Roman"/>
          <w:sz w:val="20"/>
          <w:szCs w:val="20"/>
        </w:rPr>
        <w:t>), NO</w:t>
      </w:r>
      <w:r w:rsidR="00A90B3A" w:rsidRPr="00301C5C">
        <w:rPr>
          <w:rFonts w:ascii="Times New Roman" w:hAnsi="Times New Roman" w:cs="Times New Roman"/>
          <w:sz w:val="20"/>
          <w:szCs w:val="20"/>
          <w:vertAlign w:val="subscript"/>
        </w:rPr>
        <w:t>3</w:t>
      </w:r>
      <w:r>
        <w:rPr>
          <w:rFonts w:ascii="Times New Roman" w:hAnsi="Times New Roman" w:cs="Times New Roman"/>
          <w:sz w:val="20"/>
          <w:szCs w:val="20"/>
          <w:vertAlign w:val="superscript"/>
        </w:rPr>
        <w:t>–</w:t>
      </w:r>
      <w:r w:rsidR="00A90B3A" w:rsidRPr="00301C5C">
        <w:rPr>
          <w:rFonts w:ascii="Times New Roman" w:hAnsi="Times New Roman" w:cs="Times New Roman"/>
          <w:sz w:val="20"/>
          <w:szCs w:val="20"/>
        </w:rPr>
        <w:t xml:space="preserve"> (</w:t>
      </w:r>
      <w:r w:rsidR="00A90B3A" w:rsidRPr="00301C5C">
        <w:rPr>
          <w:rFonts w:ascii="Times New Roman" w:hAnsi="Times New Roman" w:cs="Times New Roman"/>
          <w:i/>
          <w:sz w:val="20"/>
          <w:szCs w:val="20"/>
        </w:rPr>
        <w:t>B</w:t>
      </w:r>
      <w:r>
        <w:rPr>
          <w:rFonts w:ascii="Times New Roman" w:hAnsi="Times New Roman" w:cs="Times New Roman"/>
          <w:sz w:val="20"/>
          <w:szCs w:val="20"/>
        </w:rPr>
        <w:t>,</w:t>
      </w:r>
      <w:r w:rsidR="00A90B3A" w:rsidRPr="00301C5C">
        <w:rPr>
          <w:rFonts w:ascii="Times New Roman" w:hAnsi="Times New Roman" w:cs="Times New Roman"/>
          <w:sz w:val="20"/>
          <w:szCs w:val="20"/>
        </w:rPr>
        <w:t>) and NH</w:t>
      </w:r>
      <w:r w:rsidR="00A90B3A" w:rsidRPr="00301C5C">
        <w:rPr>
          <w:rFonts w:ascii="Times New Roman" w:hAnsi="Times New Roman" w:cs="Times New Roman"/>
          <w:sz w:val="20"/>
          <w:szCs w:val="20"/>
          <w:vertAlign w:val="subscript"/>
        </w:rPr>
        <w:t>4</w:t>
      </w:r>
      <w:r w:rsidR="00A90B3A" w:rsidRPr="00301C5C">
        <w:rPr>
          <w:rFonts w:ascii="Times New Roman" w:hAnsi="Times New Roman" w:cs="Times New Roman"/>
          <w:sz w:val="20"/>
          <w:szCs w:val="20"/>
          <w:vertAlign w:val="superscript"/>
        </w:rPr>
        <w:t>+</w:t>
      </w:r>
      <w:r w:rsidR="00A90B3A" w:rsidRPr="00301C5C">
        <w:rPr>
          <w:rFonts w:ascii="Times New Roman" w:hAnsi="Times New Roman" w:cs="Times New Roman"/>
          <w:sz w:val="20"/>
          <w:szCs w:val="20"/>
        </w:rPr>
        <w:t xml:space="preserve"> (</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rPr>
        <w:t xml:space="preserve">) for 60 locations sampled in this study. </w:t>
      </w:r>
      <w:r w:rsidR="00EE7598" w:rsidRPr="00301C5C">
        <w:rPr>
          <w:rFonts w:ascii="Times New Roman" w:hAnsi="Times New Roman" w:cs="Times New Roman"/>
          <w:sz w:val="20"/>
          <w:szCs w:val="20"/>
          <w:lang w:val="en-GB"/>
        </w:rPr>
        <w:t>Colours indicate annual deposition</w:t>
      </w:r>
      <w:r w:rsidR="00394419" w:rsidRPr="00301C5C">
        <w:rPr>
          <w:rFonts w:ascii="Times New Roman" w:hAnsi="Times New Roman" w:cs="Times New Roman"/>
          <w:sz w:val="20"/>
          <w:szCs w:val="20"/>
          <w:lang w:val="en-GB"/>
        </w:rPr>
        <w:t xml:space="preserve"> rate</w:t>
      </w:r>
      <w:r>
        <w:rPr>
          <w:rFonts w:ascii="Times New Roman" w:hAnsi="Times New Roman" w:cs="Times New Roman"/>
          <w:sz w:val="20"/>
          <w:szCs w:val="20"/>
          <w:lang w:val="en-GB"/>
        </w:rPr>
        <w:t>s for the period 1910–</w:t>
      </w:r>
      <w:r w:rsidR="00EE7598" w:rsidRPr="00301C5C">
        <w:rPr>
          <w:rFonts w:ascii="Times New Roman" w:hAnsi="Times New Roman" w:cs="Times New Roman"/>
          <w:sz w:val="20"/>
          <w:szCs w:val="20"/>
          <w:lang w:val="en-GB"/>
        </w:rPr>
        <w:t>2014 and particular locations ranked in descending order of the deposition</w:t>
      </w:r>
      <w:r w:rsidR="00F37DC8" w:rsidRPr="00301C5C">
        <w:rPr>
          <w:rFonts w:ascii="Times New Roman" w:hAnsi="Times New Roman" w:cs="Times New Roman"/>
          <w:sz w:val="20"/>
          <w:szCs w:val="20"/>
          <w:lang w:val="en-GB"/>
        </w:rPr>
        <w:t xml:space="preserve"> rate</w:t>
      </w:r>
      <w:r w:rsidR="00EE7598" w:rsidRPr="00301C5C">
        <w:rPr>
          <w:rFonts w:ascii="Times New Roman" w:hAnsi="Times New Roman" w:cs="Times New Roman"/>
          <w:sz w:val="20"/>
          <w:szCs w:val="20"/>
          <w:lang w:val="en-GB"/>
        </w:rPr>
        <w:t>s (</w:t>
      </w:r>
      <w:r w:rsidR="00EE7598" w:rsidRPr="00301C5C">
        <w:rPr>
          <w:rFonts w:ascii="Times New Roman" w:hAnsi="Times New Roman" w:cs="Times New Roman"/>
          <w:i/>
          <w:sz w:val="20"/>
          <w:szCs w:val="20"/>
          <w:lang w:val="en-GB"/>
        </w:rPr>
        <w:t>left axis</w:t>
      </w:r>
      <w:r w:rsidR="00EE7598" w:rsidRPr="00301C5C">
        <w:rPr>
          <w:rFonts w:ascii="Times New Roman" w:hAnsi="Times New Roman" w:cs="Times New Roman"/>
          <w:sz w:val="20"/>
          <w:szCs w:val="20"/>
          <w:lang w:val="en-GB"/>
        </w:rPr>
        <w:t>): the location with the highest average deposition</w:t>
      </w:r>
      <w:r w:rsidR="00394419" w:rsidRPr="00301C5C">
        <w:rPr>
          <w:rFonts w:ascii="Times New Roman" w:hAnsi="Times New Roman" w:cs="Times New Roman"/>
          <w:sz w:val="20"/>
          <w:szCs w:val="20"/>
          <w:lang w:val="en-GB"/>
        </w:rPr>
        <w:t xml:space="preserve"> rate</w:t>
      </w:r>
      <w:r w:rsidR="00F37DC8" w:rsidRPr="00301C5C">
        <w:rPr>
          <w:rFonts w:ascii="Times New Roman" w:hAnsi="Times New Roman" w:cs="Times New Roman"/>
          <w:sz w:val="20"/>
          <w:szCs w:val="20"/>
          <w:lang w:val="en-GB"/>
        </w:rPr>
        <w:t xml:space="preserve"> is ranked 1, </w:t>
      </w:r>
      <w:r w:rsidR="00EE7598" w:rsidRPr="00301C5C">
        <w:rPr>
          <w:rFonts w:ascii="Times New Roman" w:hAnsi="Times New Roman" w:cs="Times New Roman"/>
          <w:sz w:val="20"/>
          <w:szCs w:val="20"/>
          <w:lang w:val="en-GB"/>
        </w:rPr>
        <w:t xml:space="preserve">the lowest </w:t>
      </w:r>
      <w:r w:rsidR="00394419" w:rsidRPr="00301C5C">
        <w:rPr>
          <w:rFonts w:ascii="Times New Roman" w:hAnsi="Times New Roman" w:cs="Times New Roman"/>
          <w:sz w:val="20"/>
          <w:szCs w:val="20"/>
          <w:lang w:val="en-GB"/>
        </w:rPr>
        <w:t>one</w:t>
      </w:r>
      <w:r w:rsidR="00F37DC8" w:rsidRPr="00301C5C">
        <w:rPr>
          <w:rFonts w:ascii="Times New Roman" w:hAnsi="Times New Roman" w:cs="Times New Roman"/>
          <w:sz w:val="20"/>
          <w:szCs w:val="20"/>
          <w:lang w:val="en-GB"/>
        </w:rPr>
        <w:t xml:space="preserve"> 60</w:t>
      </w:r>
      <w:r w:rsidR="00EE7598" w:rsidRPr="00301C5C">
        <w:rPr>
          <w:rFonts w:ascii="Times New Roman" w:hAnsi="Times New Roman" w:cs="Times New Roman"/>
          <w:sz w:val="20"/>
          <w:szCs w:val="20"/>
          <w:lang w:val="en-GB"/>
        </w:rPr>
        <w:t>. The means calculated across all 60 locations for each year (</w:t>
      </w:r>
      <w:r w:rsidR="00F37DC8" w:rsidRPr="00301C5C">
        <w:rPr>
          <w:rFonts w:ascii="Times New Roman" w:hAnsi="Times New Roman" w:cs="Times New Roman"/>
          <w:sz w:val="20"/>
          <w:szCs w:val="20"/>
          <w:lang w:val="en-GB"/>
        </w:rPr>
        <w:t xml:space="preserve">in </w:t>
      </w:r>
      <w:r w:rsidR="00EE7598" w:rsidRPr="00301C5C">
        <w:rPr>
          <w:rFonts w:ascii="Times New Roman" w:hAnsi="Times New Roman" w:cs="Times New Roman"/>
          <w:sz w:val="20"/>
          <w:szCs w:val="20"/>
          <w:lang w:val="en-GB"/>
        </w:rPr>
        <w:t>20-year step</w:t>
      </w:r>
      <w:r w:rsidR="00394419" w:rsidRPr="00301C5C">
        <w:rPr>
          <w:rFonts w:ascii="Times New Roman" w:hAnsi="Times New Roman" w:cs="Times New Roman"/>
          <w:sz w:val="20"/>
          <w:szCs w:val="20"/>
          <w:lang w:val="en-GB"/>
        </w:rPr>
        <w:t>s</w:t>
      </w:r>
      <w:r w:rsidR="00EE7598" w:rsidRPr="00301C5C">
        <w:rPr>
          <w:rFonts w:ascii="Times New Roman" w:hAnsi="Times New Roman" w:cs="Times New Roman"/>
          <w:sz w:val="20"/>
          <w:szCs w:val="20"/>
          <w:lang w:val="en-GB"/>
        </w:rPr>
        <w:t xml:space="preserve">) are shown </w:t>
      </w:r>
      <w:r w:rsidR="00394419" w:rsidRPr="00301C5C">
        <w:rPr>
          <w:rFonts w:ascii="Times New Roman" w:hAnsi="Times New Roman" w:cs="Times New Roman"/>
          <w:sz w:val="20"/>
          <w:szCs w:val="20"/>
          <w:lang w:val="en-GB"/>
        </w:rPr>
        <w:t xml:space="preserve">along </w:t>
      </w:r>
      <w:r w:rsidR="00EE7598" w:rsidRPr="00301C5C">
        <w:rPr>
          <w:rFonts w:ascii="Times New Roman" w:hAnsi="Times New Roman" w:cs="Times New Roman"/>
          <w:sz w:val="20"/>
          <w:szCs w:val="20"/>
          <w:lang w:val="en-GB"/>
        </w:rPr>
        <w:t>the top</w:t>
      </w:r>
      <w:r w:rsidR="00394419" w:rsidRPr="00301C5C">
        <w:rPr>
          <w:rFonts w:ascii="Times New Roman" w:hAnsi="Times New Roman" w:cs="Times New Roman"/>
          <w:sz w:val="20"/>
          <w:szCs w:val="20"/>
          <w:lang w:val="en-GB"/>
        </w:rPr>
        <w:t xml:space="preserve"> of each panel</w:t>
      </w:r>
      <w:r w:rsidR="00EE7598" w:rsidRPr="00301C5C">
        <w:rPr>
          <w:rFonts w:ascii="Times New Roman" w:hAnsi="Times New Roman" w:cs="Times New Roman"/>
          <w:sz w:val="20"/>
          <w:szCs w:val="20"/>
          <w:lang w:val="en-GB"/>
        </w:rPr>
        <w:t xml:space="preserve">. The means calculated across all years for </w:t>
      </w:r>
      <w:r w:rsidR="00394419" w:rsidRPr="00301C5C">
        <w:rPr>
          <w:rFonts w:ascii="Times New Roman" w:hAnsi="Times New Roman" w:cs="Times New Roman"/>
          <w:sz w:val="20"/>
          <w:szCs w:val="20"/>
          <w:lang w:val="en-GB"/>
        </w:rPr>
        <w:t xml:space="preserve">any </w:t>
      </w:r>
      <w:r w:rsidR="00EE7598" w:rsidRPr="00301C5C">
        <w:rPr>
          <w:rFonts w:ascii="Times New Roman" w:hAnsi="Times New Roman" w:cs="Times New Roman"/>
          <w:sz w:val="20"/>
          <w:szCs w:val="20"/>
          <w:lang w:val="en-GB"/>
        </w:rPr>
        <w:t>particular location (</w:t>
      </w:r>
      <w:r w:rsidR="00F37DC8" w:rsidRPr="00301C5C">
        <w:rPr>
          <w:rFonts w:ascii="Times New Roman" w:hAnsi="Times New Roman" w:cs="Times New Roman"/>
          <w:sz w:val="20"/>
          <w:szCs w:val="20"/>
          <w:lang w:val="en-GB"/>
        </w:rPr>
        <w:t xml:space="preserve">in </w:t>
      </w:r>
      <w:r w:rsidR="00EE7598" w:rsidRPr="00301C5C">
        <w:rPr>
          <w:rFonts w:ascii="Times New Roman" w:hAnsi="Times New Roman" w:cs="Times New Roman"/>
          <w:sz w:val="20"/>
          <w:szCs w:val="20"/>
          <w:lang w:val="en-GB"/>
        </w:rPr>
        <w:t>10-rank step</w:t>
      </w:r>
      <w:r w:rsidR="00394419" w:rsidRPr="00301C5C">
        <w:rPr>
          <w:rFonts w:ascii="Times New Roman" w:hAnsi="Times New Roman" w:cs="Times New Roman"/>
          <w:sz w:val="20"/>
          <w:szCs w:val="20"/>
          <w:lang w:val="en-GB"/>
        </w:rPr>
        <w:t>s</w:t>
      </w:r>
      <w:r w:rsidR="00EE7598" w:rsidRPr="00301C5C">
        <w:rPr>
          <w:rFonts w:ascii="Times New Roman" w:hAnsi="Times New Roman" w:cs="Times New Roman"/>
          <w:sz w:val="20"/>
          <w:szCs w:val="20"/>
          <w:lang w:val="en-GB"/>
        </w:rPr>
        <w:t>) are indicated a</w:t>
      </w:r>
      <w:r w:rsidR="00394419" w:rsidRPr="00301C5C">
        <w:rPr>
          <w:rFonts w:ascii="Times New Roman" w:hAnsi="Times New Roman" w:cs="Times New Roman"/>
          <w:sz w:val="20"/>
          <w:szCs w:val="20"/>
          <w:lang w:val="en-GB"/>
        </w:rPr>
        <w:t>long</w:t>
      </w:r>
      <w:r w:rsidR="00EE7598" w:rsidRPr="00301C5C">
        <w:rPr>
          <w:rFonts w:ascii="Times New Roman" w:hAnsi="Times New Roman" w:cs="Times New Roman"/>
          <w:sz w:val="20"/>
          <w:szCs w:val="20"/>
          <w:lang w:val="en-GB"/>
        </w:rPr>
        <w:t xml:space="preserve"> the right</w:t>
      </w:r>
      <w:r w:rsidR="00394419" w:rsidRPr="00301C5C">
        <w:rPr>
          <w:rFonts w:ascii="Times New Roman" w:hAnsi="Times New Roman" w:cs="Times New Roman"/>
          <w:sz w:val="20"/>
          <w:szCs w:val="20"/>
          <w:lang w:val="en-GB"/>
        </w:rPr>
        <w:t xml:space="preserve"> of each panel</w:t>
      </w:r>
      <w:r w:rsidR="00EE7598" w:rsidRPr="00301C5C">
        <w:rPr>
          <w:rFonts w:ascii="Times New Roman" w:hAnsi="Times New Roman" w:cs="Times New Roman"/>
          <w:sz w:val="20"/>
          <w:szCs w:val="20"/>
          <w:lang w:val="en-GB"/>
        </w:rPr>
        <w:t>.</w:t>
      </w:r>
    </w:p>
    <w:p w14:paraId="4D012414" w14:textId="46594CB9" w:rsidR="00001948" w:rsidRPr="00301C5C" w:rsidRDefault="00001948" w:rsidP="00301C5C">
      <w:pPr>
        <w:spacing w:after="0" w:line="240" w:lineRule="auto"/>
        <w:contextualSpacing/>
        <w:jc w:val="both"/>
        <w:rPr>
          <w:rFonts w:ascii="Times New Roman" w:hAnsi="Times New Roman" w:cs="Times New Roman"/>
          <w:sz w:val="20"/>
          <w:szCs w:val="20"/>
        </w:rPr>
      </w:pPr>
      <w:r w:rsidRPr="00301C5C">
        <w:rPr>
          <w:rFonts w:ascii="Times New Roman" w:hAnsi="Times New Roman" w:cs="Times New Roman"/>
          <w:noProof/>
          <w:sz w:val="20"/>
          <w:szCs w:val="20"/>
          <w:lang w:val="cs-CZ" w:eastAsia="cs-CZ"/>
        </w:rPr>
        <w:lastRenderedPageBreak/>
        <w:drawing>
          <wp:inline distT="0" distB="0" distL="0" distR="0" wp14:anchorId="6AE1356A" wp14:editId="1EF4800A">
            <wp:extent cx="5184000" cy="3456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_delty_median_quantiles(al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4000" cy="3456000"/>
                    </a:xfrm>
                    <a:prstGeom prst="rect">
                      <a:avLst/>
                    </a:prstGeom>
                  </pic:spPr>
                </pic:pic>
              </a:graphicData>
            </a:graphic>
          </wp:inline>
        </w:drawing>
      </w:r>
    </w:p>
    <w:p w14:paraId="74CF677A" w14:textId="77777777" w:rsidR="00001948" w:rsidRPr="00301C5C" w:rsidRDefault="00001948" w:rsidP="00301C5C">
      <w:pPr>
        <w:spacing w:after="0" w:line="240" w:lineRule="auto"/>
        <w:contextualSpacing/>
        <w:jc w:val="both"/>
        <w:rPr>
          <w:rFonts w:ascii="Times New Roman" w:hAnsi="Times New Roman" w:cs="Times New Roman"/>
          <w:sz w:val="20"/>
          <w:szCs w:val="20"/>
        </w:rPr>
      </w:pPr>
    </w:p>
    <w:p w14:paraId="7DBDFCBB" w14:textId="1415A7C8" w:rsidR="00001948" w:rsidRPr="00301C5C" w:rsidRDefault="00301C5C"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Fig. </w:t>
      </w:r>
      <w:r w:rsidR="00001948" w:rsidRPr="00301C5C">
        <w:rPr>
          <w:rFonts w:ascii="Times New Roman" w:hAnsi="Times New Roman" w:cs="Times New Roman"/>
          <w:sz w:val="20"/>
          <w:szCs w:val="20"/>
        </w:rPr>
        <w:t>3</w:t>
      </w:r>
      <w:r>
        <w:rPr>
          <w:rFonts w:ascii="Times New Roman" w:hAnsi="Times New Roman" w:cs="Times New Roman"/>
          <w:sz w:val="20"/>
          <w:szCs w:val="20"/>
        </w:rPr>
        <w:t>S.</w:t>
      </w:r>
      <w:r w:rsidR="00001948" w:rsidRPr="00301C5C">
        <w:rPr>
          <w:rFonts w:ascii="Times New Roman" w:hAnsi="Times New Roman" w:cs="Times New Roman"/>
          <w:sz w:val="20"/>
          <w:szCs w:val="20"/>
        </w:rPr>
        <w:t xml:space="preserve"> Time course of tree-ring δ</w:t>
      </w:r>
      <w:r w:rsidR="00001948" w:rsidRPr="00301C5C">
        <w:rPr>
          <w:rFonts w:ascii="Times New Roman" w:hAnsi="Times New Roman" w:cs="Times New Roman"/>
          <w:sz w:val="20"/>
          <w:szCs w:val="20"/>
          <w:vertAlign w:val="superscript"/>
        </w:rPr>
        <w:t>13</w:t>
      </w:r>
      <w:r w:rsidR="00001948" w:rsidRPr="00301C5C">
        <w:rPr>
          <w:rFonts w:ascii="Times New Roman" w:hAnsi="Times New Roman" w:cs="Times New Roman"/>
          <w:sz w:val="20"/>
          <w:szCs w:val="20"/>
        </w:rPr>
        <w:t>C of late-wood cellulose isolated from 57 Norway spruce trees. The medians and 10-year moving averages (</w:t>
      </w:r>
      <w:r w:rsidR="00001948" w:rsidRPr="00301C5C">
        <w:rPr>
          <w:rFonts w:ascii="Times New Roman" w:hAnsi="Times New Roman" w:cs="Times New Roman"/>
          <w:i/>
          <w:sz w:val="20"/>
          <w:szCs w:val="20"/>
        </w:rPr>
        <w:t>solid</w:t>
      </w:r>
      <w:r w:rsidR="00001948" w:rsidRPr="00301C5C">
        <w:rPr>
          <w:rFonts w:ascii="Times New Roman" w:hAnsi="Times New Roman" w:cs="Times New Roman"/>
          <w:sz w:val="20"/>
          <w:szCs w:val="20"/>
        </w:rPr>
        <w:t xml:space="preserve"> and </w:t>
      </w:r>
      <w:r w:rsidR="00001948" w:rsidRPr="00301C5C">
        <w:rPr>
          <w:rFonts w:ascii="Times New Roman" w:hAnsi="Times New Roman" w:cs="Times New Roman"/>
          <w:i/>
          <w:sz w:val="20"/>
          <w:szCs w:val="20"/>
        </w:rPr>
        <w:t>dashed bold lines</w:t>
      </w:r>
      <w:r w:rsidR="00001948" w:rsidRPr="00301C5C">
        <w:rPr>
          <w:rFonts w:ascii="Times New Roman" w:hAnsi="Times New Roman" w:cs="Times New Roman"/>
          <w:sz w:val="20"/>
          <w:szCs w:val="20"/>
        </w:rPr>
        <w:t>, respectively) are shown to</w:t>
      </w:r>
      <w:r>
        <w:rPr>
          <w:rFonts w:ascii="Times New Roman" w:hAnsi="Times New Roman" w:cs="Times New Roman"/>
          <w:sz w:val="20"/>
          <w:szCs w:val="20"/>
        </w:rPr>
        <w:t>gether with minima, maxima, 25% and 75</w:t>
      </w:r>
      <w:r w:rsidR="00001948" w:rsidRPr="00301C5C">
        <w:rPr>
          <w:rFonts w:ascii="Times New Roman" w:hAnsi="Times New Roman" w:cs="Times New Roman"/>
          <w:sz w:val="20"/>
          <w:szCs w:val="20"/>
        </w:rPr>
        <w:t>% percentiles (</w:t>
      </w:r>
      <w:r w:rsidR="00001948" w:rsidRPr="00301C5C">
        <w:rPr>
          <w:rFonts w:ascii="Times New Roman" w:hAnsi="Times New Roman" w:cs="Times New Roman"/>
          <w:i/>
          <w:sz w:val="20"/>
          <w:szCs w:val="20"/>
        </w:rPr>
        <w:t>finer lines</w:t>
      </w:r>
      <w:r w:rsidR="00001948" w:rsidRPr="00301C5C">
        <w:rPr>
          <w:rFonts w:ascii="Times New Roman" w:hAnsi="Times New Roman" w:cs="Times New Roman"/>
          <w:sz w:val="20"/>
          <w:szCs w:val="20"/>
        </w:rPr>
        <w:t xml:space="preserve">; for patterns </w:t>
      </w:r>
      <w:r w:rsidR="00001948" w:rsidRPr="00301C5C">
        <w:rPr>
          <w:rFonts w:ascii="Times New Roman" w:hAnsi="Times New Roman" w:cs="Times New Roman"/>
          <w:i/>
          <w:sz w:val="20"/>
          <w:szCs w:val="20"/>
        </w:rPr>
        <w:t>see</w:t>
      </w:r>
      <w:r w:rsidR="00001948" w:rsidRPr="00301C5C">
        <w:rPr>
          <w:rFonts w:ascii="Times New Roman" w:hAnsi="Times New Roman" w:cs="Times New Roman"/>
          <w:sz w:val="20"/>
          <w:szCs w:val="20"/>
        </w:rPr>
        <w:t xml:space="preserve"> inset) calculated for each year and all tree-ring series (cores).</w:t>
      </w:r>
    </w:p>
    <w:p w14:paraId="6861F8E0" w14:textId="77777777" w:rsidR="00075DA8" w:rsidRPr="00301C5C" w:rsidRDefault="00E131D1" w:rsidP="00301C5C">
      <w:pPr>
        <w:spacing w:after="0" w:line="240" w:lineRule="auto"/>
        <w:contextualSpacing/>
        <w:jc w:val="both"/>
        <w:rPr>
          <w:rFonts w:ascii="Times New Roman" w:hAnsi="Times New Roman" w:cs="Times New Roman"/>
          <w:sz w:val="20"/>
          <w:szCs w:val="20"/>
          <w:lang w:val="cs-CZ"/>
        </w:rPr>
      </w:pPr>
      <w:r w:rsidRPr="00301C5C">
        <w:rPr>
          <w:rFonts w:ascii="Times New Roman" w:hAnsi="Times New Roman" w:cs="Times New Roman"/>
          <w:noProof/>
          <w:sz w:val="20"/>
          <w:szCs w:val="20"/>
          <w:lang w:val="cs-CZ" w:eastAsia="cs-CZ"/>
        </w:rPr>
        <w:drawing>
          <wp:inline distT="0" distB="0" distL="0" distR="0" wp14:anchorId="70847632" wp14:editId="24B757F3">
            <wp:extent cx="5760720" cy="3840006"/>
            <wp:effectExtent l="0" t="0" r="0" b="8255"/>
            <wp:docPr id="4" name="Picture 4" descr="D:\Stab_iso\letokruhy_grantEmil\manuscript-revised\figures\07_08_12\WUEi_waffer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b_iso\letokruhy_grantEmil\manuscript-revised\figures\07_08_12\WUEi_waffer_ne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006"/>
                    </a:xfrm>
                    <a:prstGeom prst="rect">
                      <a:avLst/>
                    </a:prstGeom>
                    <a:noFill/>
                    <a:ln>
                      <a:noFill/>
                    </a:ln>
                  </pic:spPr>
                </pic:pic>
              </a:graphicData>
            </a:graphic>
          </wp:inline>
        </w:drawing>
      </w:r>
    </w:p>
    <w:p w14:paraId="5523B4DD" w14:textId="038D772D" w:rsidR="00EE7598" w:rsidRPr="00301C5C" w:rsidRDefault="00301C5C"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Fig. </w:t>
      </w:r>
      <w:r w:rsidR="00001948" w:rsidRPr="00301C5C">
        <w:rPr>
          <w:rFonts w:ascii="Times New Roman" w:hAnsi="Times New Roman" w:cs="Times New Roman"/>
          <w:sz w:val="20"/>
          <w:szCs w:val="20"/>
        </w:rPr>
        <w:t>4</w:t>
      </w:r>
      <w:r>
        <w:rPr>
          <w:rFonts w:ascii="Times New Roman" w:hAnsi="Times New Roman" w:cs="Times New Roman"/>
          <w:sz w:val="20"/>
          <w:szCs w:val="20"/>
        </w:rPr>
        <w:t>S. Wafer plots of intrinsic water-</w:t>
      </w:r>
      <w:r w:rsidR="00A90B3A" w:rsidRPr="00301C5C">
        <w:rPr>
          <w:rFonts w:ascii="Times New Roman" w:hAnsi="Times New Roman" w:cs="Times New Roman"/>
          <w:sz w:val="20"/>
          <w:szCs w:val="20"/>
        </w:rPr>
        <w:t>use efficiency (WUE</w:t>
      </w:r>
      <w:r w:rsidR="00A90B3A" w:rsidRPr="00301C5C">
        <w:rPr>
          <w:rFonts w:ascii="Times New Roman" w:hAnsi="Times New Roman" w:cs="Times New Roman"/>
          <w:sz w:val="20"/>
          <w:szCs w:val="20"/>
          <w:vertAlign w:val="subscript"/>
        </w:rPr>
        <w:t>i</w:t>
      </w:r>
      <w:r w:rsidR="00A90B3A" w:rsidRPr="00301C5C">
        <w:rPr>
          <w:rFonts w:ascii="Times New Roman" w:hAnsi="Times New Roman" w:cs="Times New Roman"/>
          <w:sz w:val="20"/>
          <w:szCs w:val="20"/>
        </w:rPr>
        <w:t xml:space="preserve">) inferred from </w:t>
      </w:r>
      <w:r w:rsidR="00A90B3A" w:rsidRPr="00301C5C">
        <w:rPr>
          <w:rFonts w:ascii="Times New Roman" w:hAnsi="Times New Roman" w:cs="Times New Roman"/>
          <w:sz w:val="20"/>
          <w:szCs w:val="20"/>
        </w:rPr>
        <w:sym w:font="Symbol" w:char="F064"/>
      </w:r>
      <w:r w:rsidR="00A90B3A" w:rsidRPr="00301C5C">
        <w:rPr>
          <w:rFonts w:ascii="Times New Roman" w:hAnsi="Times New Roman" w:cs="Times New Roman"/>
          <w:sz w:val="20"/>
          <w:szCs w:val="20"/>
          <w:vertAlign w:val="superscript"/>
        </w:rPr>
        <w:t>13</w:t>
      </w:r>
      <w:r w:rsidR="00A90B3A" w:rsidRPr="00301C5C">
        <w:rPr>
          <w:rFonts w:ascii="Times New Roman" w:hAnsi="Times New Roman" w:cs="Times New Roman"/>
          <w:sz w:val="20"/>
          <w:szCs w:val="20"/>
        </w:rPr>
        <w:t xml:space="preserve">C in tree ring cellulose deposited between 1914 and 2014 in spruce trees grown at altitudes from </w:t>
      </w:r>
      <w:r w:rsidR="00A90B3A" w:rsidRPr="00301C5C">
        <w:rPr>
          <w:rFonts w:ascii="Times New Roman" w:hAnsi="Times New Roman" w:cs="Times New Roman"/>
          <w:sz w:val="20"/>
          <w:szCs w:val="20"/>
        </w:rPr>
        <w:sym w:font="Symbol" w:char="F07E"/>
      </w:r>
      <w:r w:rsidR="00A90B3A" w:rsidRPr="00301C5C">
        <w:rPr>
          <w:rFonts w:ascii="Times New Roman" w:hAnsi="Times New Roman" w:cs="Times New Roman"/>
          <w:sz w:val="20"/>
          <w:szCs w:val="20"/>
        </w:rPr>
        <w:t xml:space="preserve">260 to 1060 m a.s.l. </w:t>
      </w:r>
      <w:r w:rsidR="00EE7598" w:rsidRPr="00301C5C">
        <w:rPr>
          <w:rFonts w:ascii="Times New Roman" w:hAnsi="Times New Roman" w:cs="Times New Roman"/>
          <w:sz w:val="20"/>
          <w:szCs w:val="20"/>
        </w:rPr>
        <w:t>The trees are separated in two groups, one characterized by a quasi-linear time course of Δ</w:t>
      </w:r>
      <w:r w:rsidR="00EE7598" w:rsidRPr="00301C5C">
        <w:rPr>
          <w:rFonts w:ascii="Times New Roman" w:hAnsi="Times New Roman" w:cs="Times New Roman"/>
          <w:sz w:val="20"/>
          <w:szCs w:val="20"/>
          <w:vertAlign w:val="superscript"/>
        </w:rPr>
        <w:t>13</w:t>
      </w:r>
      <w:r w:rsidR="00EE7598" w:rsidRPr="00301C5C">
        <w:rPr>
          <w:rFonts w:ascii="Times New Roman" w:hAnsi="Times New Roman" w:cs="Times New Roman"/>
          <w:sz w:val="20"/>
          <w:szCs w:val="20"/>
        </w:rPr>
        <w:t xml:space="preserve">C (Response </w:t>
      </w:r>
      <w:r w:rsidR="00EE7B0F" w:rsidRPr="00301C5C">
        <w:rPr>
          <w:rFonts w:ascii="Times New Roman" w:hAnsi="Times New Roman" w:cs="Times New Roman"/>
          <w:sz w:val="20"/>
          <w:szCs w:val="20"/>
        </w:rPr>
        <w:t>T</w:t>
      </w:r>
      <w:r w:rsidR="00EE7598" w:rsidRPr="00301C5C">
        <w:rPr>
          <w:rFonts w:ascii="Times New Roman" w:hAnsi="Times New Roman" w:cs="Times New Roman"/>
          <w:sz w:val="20"/>
          <w:szCs w:val="20"/>
        </w:rPr>
        <w:t xml:space="preserve">ype 1, RT1, </w:t>
      </w:r>
      <w:r w:rsidR="00EE7598" w:rsidRPr="00301C5C">
        <w:rPr>
          <w:rFonts w:ascii="Times New Roman" w:hAnsi="Times New Roman" w:cs="Times New Roman"/>
          <w:i/>
          <w:sz w:val="20"/>
          <w:szCs w:val="20"/>
        </w:rPr>
        <w:t>left</w:t>
      </w:r>
      <w:r w:rsidR="00EE7598" w:rsidRPr="00301C5C">
        <w:rPr>
          <w:rFonts w:ascii="Times New Roman" w:hAnsi="Times New Roman" w:cs="Times New Roman"/>
          <w:sz w:val="20"/>
          <w:szCs w:val="20"/>
        </w:rPr>
        <w:t>)</w:t>
      </w:r>
      <w:r>
        <w:rPr>
          <w:rFonts w:ascii="Times New Roman" w:hAnsi="Times New Roman" w:cs="Times New Roman"/>
          <w:sz w:val="20"/>
          <w:szCs w:val="20"/>
        </w:rPr>
        <w:t xml:space="preserve"> and the other exhibiting a non</w:t>
      </w:r>
      <w:r w:rsidR="00EE7598" w:rsidRPr="00301C5C">
        <w:rPr>
          <w:rFonts w:ascii="Times New Roman" w:hAnsi="Times New Roman" w:cs="Times New Roman"/>
          <w:sz w:val="20"/>
          <w:szCs w:val="20"/>
        </w:rPr>
        <w:t>monoto</w:t>
      </w:r>
      <w:r w:rsidR="00F37DC8" w:rsidRPr="00301C5C">
        <w:rPr>
          <w:rFonts w:ascii="Times New Roman" w:hAnsi="Times New Roman" w:cs="Times New Roman"/>
          <w:sz w:val="20"/>
          <w:szCs w:val="20"/>
        </w:rPr>
        <w:t>nic</w:t>
      </w:r>
      <w:r w:rsidR="00EE7598" w:rsidRPr="00301C5C">
        <w:rPr>
          <w:rFonts w:ascii="Times New Roman" w:hAnsi="Times New Roman" w:cs="Times New Roman"/>
          <w:sz w:val="20"/>
          <w:szCs w:val="20"/>
        </w:rPr>
        <w:t xml:space="preserve"> Δ</w:t>
      </w:r>
      <w:r w:rsidR="00EE7598" w:rsidRPr="00301C5C">
        <w:rPr>
          <w:rFonts w:ascii="Times New Roman" w:hAnsi="Times New Roman" w:cs="Times New Roman"/>
          <w:sz w:val="20"/>
          <w:szCs w:val="20"/>
          <w:vertAlign w:val="superscript"/>
        </w:rPr>
        <w:t>13</w:t>
      </w:r>
      <w:r w:rsidR="00EE7598" w:rsidRPr="00301C5C">
        <w:rPr>
          <w:rFonts w:ascii="Times New Roman" w:hAnsi="Times New Roman" w:cs="Times New Roman"/>
          <w:sz w:val="20"/>
          <w:szCs w:val="20"/>
        </w:rPr>
        <w:t xml:space="preserve">C time course with </w:t>
      </w:r>
      <w:r w:rsidR="00EE7B0F" w:rsidRPr="00301C5C">
        <w:rPr>
          <w:rFonts w:ascii="Times New Roman" w:hAnsi="Times New Roman" w:cs="Times New Roman"/>
          <w:sz w:val="20"/>
          <w:szCs w:val="20"/>
        </w:rPr>
        <w:t xml:space="preserve">a </w:t>
      </w:r>
      <w:r w:rsidR="00EE7598" w:rsidRPr="00301C5C">
        <w:rPr>
          <w:rFonts w:ascii="Times New Roman" w:hAnsi="Times New Roman" w:cs="Times New Roman"/>
          <w:sz w:val="20"/>
          <w:szCs w:val="20"/>
        </w:rPr>
        <w:t xml:space="preserve">minimum in </w:t>
      </w:r>
      <w:r w:rsidR="00EE7B0F" w:rsidRPr="00301C5C">
        <w:rPr>
          <w:rFonts w:ascii="Times New Roman" w:hAnsi="Times New Roman" w:cs="Times New Roman"/>
          <w:sz w:val="20"/>
          <w:szCs w:val="20"/>
        </w:rPr>
        <w:t>the 19</w:t>
      </w:r>
      <w:r w:rsidR="00EE7598" w:rsidRPr="00301C5C">
        <w:rPr>
          <w:rFonts w:ascii="Times New Roman" w:hAnsi="Times New Roman" w:cs="Times New Roman"/>
          <w:sz w:val="20"/>
          <w:szCs w:val="20"/>
        </w:rPr>
        <w:t>70s-</w:t>
      </w:r>
      <w:r w:rsidR="00EE7B0F" w:rsidRPr="00301C5C">
        <w:rPr>
          <w:rFonts w:ascii="Times New Roman" w:hAnsi="Times New Roman" w:cs="Times New Roman"/>
          <w:sz w:val="20"/>
          <w:szCs w:val="20"/>
        </w:rPr>
        <w:t>19</w:t>
      </w:r>
      <w:r w:rsidR="00EE7598" w:rsidRPr="00301C5C">
        <w:rPr>
          <w:rFonts w:ascii="Times New Roman" w:hAnsi="Times New Roman" w:cs="Times New Roman"/>
          <w:sz w:val="20"/>
          <w:szCs w:val="20"/>
        </w:rPr>
        <w:t xml:space="preserve">90s (Response </w:t>
      </w:r>
      <w:r w:rsidR="00EE7B0F" w:rsidRPr="00301C5C">
        <w:rPr>
          <w:rFonts w:ascii="Times New Roman" w:hAnsi="Times New Roman" w:cs="Times New Roman"/>
          <w:sz w:val="20"/>
          <w:szCs w:val="20"/>
        </w:rPr>
        <w:t>T</w:t>
      </w:r>
      <w:r w:rsidR="00EE7598" w:rsidRPr="00301C5C">
        <w:rPr>
          <w:rFonts w:ascii="Times New Roman" w:hAnsi="Times New Roman" w:cs="Times New Roman"/>
          <w:sz w:val="20"/>
          <w:szCs w:val="20"/>
        </w:rPr>
        <w:t xml:space="preserve">ype 2, RT2, </w:t>
      </w:r>
      <w:r w:rsidR="00EE7598" w:rsidRPr="00301C5C">
        <w:rPr>
          <w:rFonts w:ascii="Times New Roman" w:hAnsi="Times New Roman" w:cs="Times New Roman"/>
          <w:i/>
          <w:sz w:val="20"/>
          <w:szCs w:val="20"/>
        </w:rPr>
        <w:t>right</w:t>
      </w:r>
      <w:r w:rsidR="00EE7598" w:rsidRPr="00301C5C">
        <w:rPr>
          <w:rFonts w:ascii="Times New Roman" w:hAnsi="Times New Roman" w:cs="Times New Roman"/>
          <w:sz w:val="20"/>
          <w:szCs w:val="20"/>
        </w:rPr>
        <w:t xml:space="preserve">). </w:t>
      </w:r>
      <w:r w:rsidR="00EE7598" w:rsidRPr="00301C5C">
        <w:rPr>
          <w:rFonts w:ascii="Times New Roman" w:hAnsi="Times New Roman" w:cs="Times New Roman"/>
          <w:i/>
          <w:sz w:val="20"/>
          <w:szCs w:val="20"/>
        </w:rPr>
        <w:t xml:space="preserve">Colors </w:t>
      </w:r>
      <w:r w:rsidR="00EE7598" w:rsidRPr="00301C5C">
        <w:rPr>
          <w:rFonts w:ascii="Times New Roman" w:hAnsi="Times New Roman" w:cs="Times New Roman"/>
          <w:sz w:val="20"/>
          <w:szCs w:val="20"/>
        </w:rPr>
        <w:t>denote WUE</w:t>
      </w:r>
      <w:r w:rsidR="00EE7598" w:rsidRPr="00301C5C">
        <w:rPr>
          <w:rFonts w:ascii="Times New Roman" w:hAnsi="Times New Roman" w:cs="Times New Roman"/>
          <w:sz w:val="20"/>
          <w:szCs w:val="20"/>
          <w:vertAlign w:val="subscript"/>
        </w:rPr>
        <w:t>i</w:t>
      </w:r>
      <w:r w:rsidR="00EE7598" w:rsidRPr="00301C5C">
        <w:rPr>
          <w:rFonts w:ascii="Times New Roman" w:hAnsi="Times New Roman" w:cs="Times New Roman"/>
          <w:sz w:val="20"/>
          <w:szCs w:val="20"/>
        </w:rPr>
        <w:t xml:space="preserve"> </w:t>
      </w:r>
      <w:r w:rsidR="008A778E" w:rsidRPr="00301C5C">
        <w:rPr>
          <w:rFonts w:ascii="Times New Roman" w:hAnsi="Times New Roman" w:cs="Times New Roman"/>
          <w:sz w:val="20"/>
          <w:szCs w:val="20"/>
        </w:rPr>
        <w:t>(µmol mol</w:t>
      </w:r>
      <w:r>
        <w:rPr>
          <w:rFonts w:ascii="Times New Roman" w:hAnsi="Times New Roman" w:cs="Times New Roman"/>
          <w:sz w:val="20"/>
          <w:szCs w:val="20"/>
          <w:vertAlign w:val="superscript"/>
        </w:rPr>
        <w:t>–</w:t>
      </w:r>
      <w:r w:rsidR="008A778E" w:rsidRPr="00301C5C">
        <w:rPr>
          <w:rFonts w:ascii="Times New Roman" w:hAnsi="Times New Roman" w:cs="Times New Roman"/>
          <w:sz w:val="20"/>
          <w:szCs w:val="20"/>
          <w:vertAlign w:val="superscript"/>
        </w:rPr>
        <w:t>1</w:t>
      </w:r>
      <w:r w:rsidR="008A778E" w:rsidRPr="00301C5C">
        <w:rPr>
          <w:rFonts w:ascii="Times New Roman" w:hAnsi="Times New Roman" w:cs="Times New Roman"/>
          <w:sz w:val="20"/>
          <w:szCs w:val="20"/>
        </w:rPr>
        <w:t xml:space="preserve">) </w:t>
      </w:r>
      <w:r w:rsidR="00EE7598" w:rsidRPr="00301C5C">
        <w:rPr>
          <w:rFonts w:ascii="Times New Roman" w:hAnsi="Times New Roman" w:cs="Times New Roman"/>
          <w:sz w:val="20"/>
          <w:szCs w:val="20"/>
        </w:rPr>
        <w:t xml:space="preserve">extrapolated from the individual data points, </w:t>
      </w:r>
      <w:r w:rsidR="00EE7598" w:rsidRPr="00301C5C">
        <w:rPr>
          <w:rFonts w:ascii="Times New Roman" w:hAnsi="Times New Roman" w:cs="Times New Roman"/>
          <w:i/>
          <w:sz w:val="20"/>
          <w:szCs w:val="20"/>
        </w:rPr>
        <w:t>dots in lines</w:t>
      </w:r>
      <w:r w:rsidR="00EE7598" w:rsidRPr="00301C5C">
        <w:rPr>
          <w:rFonts w:ascii="Times New Roman" w:hAnsi="Times New Roman" w:cs="Times New Roman"/>
          <w:sz w:val="20"/>
          <w:szCs w:val="20"/>
        </w:rPr>
        <w:t xml:space="preserve"> indicate tree ring samples dissected from wood cores. </w:t>
      </w:r>
    </w:p>
    <w:p w14:paraId="6EAD4114" w14:textId="4F5074F6" w:rsidR="0086442D" w:rsidRPr="00301C5C" w:rsidRDefault="00843A79" w:rsidP="00301C5C">
      <w:pPr>
        <w:spacing w:after="0" w:line="240" w:lineRule="auto"/>
        <w:contextualSpacing/>
        <w:jc w:val="both"/>
        <w:rPr>
          <w:rFonts w:ascii="Times New Roman" w:hAnsi="Times New Roman" w:cs="Times New Roman"/>
          <w:sz w:val="20"/>
          <w:szCs w:val="20"/>
          <w:lang w:val="cs-CZ"/>
        </w:rPr>
      </w:pPr>
      <w:r w:rsidRPr="00301C5C">
        <w:rPr>
          <w:rFonts w:ascii="Times New Roman" w:hAnsi="Times New Roman" w:cs="Times New Roman"/>
          <w:noProof/>
          <w:sz w:val="20"/>
          <w:szCs w:val="20"/>
          <w:lang w:val="cs-CZ" w:eastAsia="cs-CZ"/>
        </w:rPr>
        <w:lastRenderedPageBreak/>
        <w:drawing>
          <wp:inline distT="0" distB="0" distL="0" distR="0" wp14:anchorId="333E3C6B" wp14:editId="2BC90997">
            <wp:extent cx="5760720" cy="3840480"/>
            <wp:effectExtent l="0" t="0" r="0" b="7620"/>
            <wp:docPr id="2" name="Picture 2" descr="D:\Stab_iso\letokruhy_grantEmil\manuscript-revised\supplementary\Suplment_dendro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b_iso\letokruhy_grantEmil\manuscript-revised\supplementary\Suplment_dendro copy.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7A6894A" w14:textId="77777777" w:rsidR="0086442D" w:rsidRPr="00301C5C" w:rsidRDefault="0086442D" w:rsidP="00301C5C">
      <w:pPr>
        <w:spacing w:after="0" w:line="240" w:lineRule="auto"/>
        <w:contextualSpacing/>
        <w:jc w:val="both"/>
        <w:rPr>
          <w:rFonts w:ascii="Times New Roman" w:hAnsi="Times New Roman" w:cs="Times New Roman"/>
          <w:sz w:val="20"/>
          <w:szCs w:val="20"/>
          <w:lang w:val="cs-CZ"/>
        </w:rPr>
      </w:pPr>
    </w:p>
    <w:p w14:paraId="5F18675C" w14:textId="09C34F41" w:rsidR="0086442D" w:rsidRPr="00AB6C19" w:rsidRDefault="00301C5C"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lang w:val="cs-CZ"/>
        </w:rPr>
        <w:t xml:space="preserve">Fig. </w:t>
      </w:r>
      <w:r w:rsidR="00001948" w:rsidRPr="00301C5C">
        <w:rPr>
          <w:rFonts w:ascii="Times New Roman" w:hAnsi="Times New Roman" w:cs="Times New Roman"/>
          <w:sz w:val="20"/>
          <w:szCs w:val="20"/>
          <w:lang w:val="cs-CZ"/>
        </w:rPr>
        <w:t>5</w:t>
      </w:r>
      <w:r w:rsidR="00AB6C19">
        <w:rPr>
          <w:rFonts w:ascii="Times New Roman" w:hAnsi="Times New Roman" w:cs="Times New Roman"/>
          <w:sz w:val="20"/>
          <w:szCs w:val="20"/>
          <w:lang w:val="cs-CZ"/>
        </w:rPr>
        <w:t>S</w:t>
      </w:r>
      <w:r>
        <w:rPr>
          <w:rFonts w:ascii="Times New Roman" w:hAnsi="Times New Roman" w:cs="Times New Roman"/>
          <w:sz w:val="20"/>
          <w:szCs w:val="20"/>
          <w:lang w:val="cs-CZ"/>
        </w:rPr>
        <w:t>.</w:t>
      </w:r>
      <w:r w:rsidR="00EE7598" w:rsidRPr="00301C5C">
        <w:rPr>
          <w:rFonts w:ascii="Times New Roman" w:hAnsi="Times New Roman" w:cs="Times New Roman"/>
          <w:sz w:val="20"/>
          <w:szCs w:val="20"/>
          <w:lang w:val="cs-CZ"/>
        </w:rPr>
        <w:t xml:space="preserve"> </w:t>
      </w:r>
      <w:r w:rsidR="00EE7598" w:rsidRPr="00301C5C">
        <w:rPr>
          <w:rFonts w:ascii="Times New Roman" w:hAnsi="Times New Roman" w:cs="Times New Roman"/>
          <w:sz w:val="20"/>
          <w:szCs w:val="20"/>
        </w:rPr>
        <w:t>T</w:t>
      </w:r>
      <w:r>
        <w:rPr>
          <w:rFonts w:ascii="Times New Roman" w:hAnsi="Times New Roman" w:cs="Times New Roman"/>
          <w:sz w:val="20"/>
          <w:szCs w:val="20"/>
        </w:rPr>
        <w:t>ree-ring width (</w:t>
      </w:r>
      <w:r w:rsidRPr="00301C5C">
        <w:rPr>
          <w:rFonts w:ascii="Times New Roman" w:hAnsi="Times New Roman" w:cs="Times New Roman"/>
          <w:i/>
          <w:sz w:val="20"/>
          <w:szCs w:val="20"/>
        </w:rPr>
        <w:t>A</w:t>
      </w:r>
      <w:r>
        <w:rPr>
          <w:rFonts w:ascii="Times New Roman" w:hAnsi="Times New Roman" w:cs="Times New Roman"/>
          <w:sz w:val="20"/>
          <w:szCs w:val="20"/>
        </w:rPr>
        <w:t>,</w:t>
      </w:r>
      <w:r w:rsidR="00EE7598" w:rsidRPr="00301C5C">
        <w:rPr>
          <w:rFonts w:ascii="Times New Roman" w:hAnsi="Times New Roman" w:cs="Times New Roman"/>
          <w:i/>
          <w:sz w:val="20"/>
          <w:szCs w:val="20"/>
        </w:rPr>
        <w:t>B</w:t>
      </w:r>
      <w:r w:rsidR="00EE7598" w:rsidRPr="00301C5C">
        <w:rPr>
          <w:rFonts w:ascii="Times New Roman" w:hAnsi="Times New Roman" w:cs="Times New Roman"/>
          <w:sz w:val="20"/>
          <w:szCs w:val="20"/>
        </w:rPr>
        <w:t>) and tree-ring width residuals (</w:t>
      </w:r>
      <w:r w:rsidR="00EE7598" w:rsidRPr="00301C5C">
        <w:rPr>
          <w:rFonts w:ascii="Times New Roman" w:hAnsi="Times New Roman" w:cs="Times New Roman"/>
          <w:i/>
          <w:sz w:val="20"/>
          <w:szCs w:val="20"/>
        </w:rPr>
        <w:t>C</w:t>
      </w:r>
      <w:r>
        <w:rPr>
          <w:rFonts w:ascii="Times New Roman" w:hAnsi="Times New Roman" w:cs="Times New Roman"/>
          <w:sz w:val="20"/>
          <w:szCs w:val="20"/>
        </w:rPr>
        <w:t>,</w:t>
      </w:r>
      <w:r w:rsidR="00EE7598" w:rsidRPr="00301C5C">
        <w:rPr>
          <w:rFonts w:ascii="Times New Roman" w:hAnsi="Times New Roman" w:cs="Times New Roman"/>
          <w:i/>
          <w:sz w:val="20"/>
          <w:szCs w:val="20"/>
        </w:rPr>
        <w:t>D</w:t>
      </w:r>
      <w:r w:rsidR="00EE7598" w:rsidRPr="00301C5C">
        <w:rPr>
          <w:rFonts w:ascii="Times New Roman" w:hAnsi="Times New Roman" w:cs="Times New Roman"/>
          <w:sz w:val="20"/>
          <w:szCs w:val="20"/>
        </w:rPr>
        <w:t>) of Norway spruce in the last hundred years.</w:t>
      </w:r>
      <w:r>
        <w:rPr>
          <w:rFonts w:ascii="Times New Roman" w:hAnsi="Times New Roman" w:cs="Times New Roman"/>
          <w:sz w:val="20"/>
          <w:szCs w:val="20"/>
        </w:rPr>
        <w:t xml:space="preserve"> </w:t>
      </w:r>
      <w:r w:rsidR="00EE7598" w:rsidRPr="00301C5C">
        <w:rPr>
          <w:rFonts w:ascii="Times New Roman" w:hAnsi="Times New Roman" w:cs="Times New Roman"/>
          <w:sz w:val="20"/>
          <w:szCs w:val="20"/>
        </w:rPr>
        <w:t xml:space="preserve">Spruce trees were classified into two </w:t>
      </w:r>
      <w:r w:rsidR="00EE7B0F" w:rsidRPr="00301C5C">
        <w:rPr>
          <w:rFonts w:ascii="Times New Roman" w:hAnsi="Times New Roman" w:cs="Times New Roman"/>
          <w:sz w:val="20"/>
          <w:szCs w:val="20"/>
        </w:rPr>
        <w:t>R</w:t>
      </w:r>
      <w:r w:rsidR="00EE7598" w:rsidRPr="00301C5C">
        <w:rPr>
          <w:rFonts w:ascii="Times New Roman" w:hAnsi="Times New Roman" w:cs="Times New Roman"/>
          <w:sz w:val="20"/>
          <w:szCs w:val="20"/>
        </w:rPr>
        <w:t xml:space="preserve">esponse </w:t>
      </w:r>
      <w:r w:rsidR="00EE7B0F" w:rsidRPr="00301C5C">
        <w:rPr>
          <w:rFonts w:ascii="Times New Roman" w:hAnsi="Times New Roman" w:cs="Times New Roman"/>
          <w:sz w:val="20"/>
          <w:szCs w:val="20"/>
        </w:rPr>
        <w:t>T</w:t>
      </w:r>
      <w:r w:rsidR="00EE7598" w:rsidRPr="00301C5C">
        <w:rPr>
          <w:rFonts w:ascii="Times New Roman" w:hAnsi="Times New Roman" w:cs="Times New Roman"/>
          <w:sz w:val="20"/>
          <w:szCs w:val="20"/>
        </w:rPr>
        <w:t>ypes, RT1, with lin</w:t>
      </w:r>
      <w:r>
        <w:rPr>
          <w:rFonts w:ascii="Times New Roman" w:hAnsi="Times New Roman" w:cs="Times New Roman"/>
          <w:sz w:val="20"/>
          <w:szCs w:val="20"/>
        </w:rPr>
        <w:t>ear increase of intrinsic water-</w:t>
      </w:r>
      <w:r w:rsidR="00EE7598" w:rsidRPr="00301C5C">
        <w:rPr>
          <w:rFonts w:ascii="Times New Roman" w:hAnsi="Times New Roman" w:cs="Times New Roman"/>
          <w:sz w:val="20"/>
          <w:szCs w:val="20"/>
        </w:rPr>
        <w:t>use efficiency (WUE</w:t>
      </w:r>
      <w:r w:rsidR="00EE7598" w:rsidRPr="00301C5C">
        <w:rPr>
          <w:rFonts w:ascii="Times New Roman" w:hAnsi="Times New Roman" w:cs="Times New Roman"/>
          <w:sz w:val="20"/>
          <w:szCs w:val="20"/>
          <w:vertAlign w:val="subscript"/>
        </w:rPr>
        <w:t>i</w:t>
      </w:r>
      <w:r w:rsidR="00EE7598" w:rsidRPr="00301C5C">
        <w:rPr>
          <w:rFonts w:ascii="Times New Roman" w:hAnsi="Times New Roman" w:cs="Times New Roman"/>
          <w:sz w:val="20"/>
          <w:szCs w:val="20"/>
        </w:rPr>
        <w:t>) and RT 2 with saturating increase of WUE</w:t>
      </w:r>
      <w:r w:rsidR="00EE7598" w:rsidRPr="00301C5C">
        <w:rPr>
          <w:rFonts w:ascii="Times New Roman" w:hAnsi="Times New Roman" w:cs="Times New Roman"/>
          <w:sz w:val="20"/>
          <w:szCs w:val="20"/>
          <w:vertAlign w:val="subscript"/>
        </w:rPr>
        <w:t>i</w:t>
      </w:r>
      <w:r>
        <w:rPr>
          <w:rFonts w:ascii="Times New Roman" w:hAnsi="Times New Roman" w:cs="Times New Roman"/>
          <w:sz w:val="20"/>
          <w:szCs w:val="20"/>
        </w:rPr>
        <w:t>. Annual means (</w:t>
      </w:r>
      <w:r w:rsidRPr="00301C5C">
        <w:rPr>
          <w:rFonts w:ascii="Times New Roman" w:hAnsi="Times New Roman" w:cs="Times New Roman"/>
          <w:i/>
          <w:sz w:val="20"/>
          <w:szCs w:val="20"/>
        </w:rPr>
        <w:t>A</w:t>
      </w:r>
      <w:r>
        <w:rPr>
          <w:rFonts w:ascii="Times New Roman" w:hAnsi="Times New Roman" w:cs="Times New Roman"/>
          <w:sz w:val="20"/>
          <w:szCs w:val="20"/>
        </w:rPr>
        <w:t>,</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rPr>
        <w:t>)</w:t>
      </w:r>
      <w:r>
        <w:rPr>
          <w:rFonts w:ascii="Times New Roman" w:hAnsi="Times New Roman" w:cs="Times New Roman"/>
          <w:sz w:val="20"/>
          <w:szCs w:val="20"/>
        </w:rPr>
        <w:t xml:space="preserve"> and standard deviations SD (</w:t>
      </w:r>
      <w:r w:rsidRPr="00301C5C">
        <w:rPr>
          <w:rFonts w:ascii="Times New Roman" w:hAnsi="Times New Roman" w:cs="Times New Roman"/>
          <w:i/>
          <w:sz w:val="20"/>
          <w:szCs w:val="20"/>
        </w:rPr>
        <w:t>B</w:t>
      </w:r>
      <w:r>
        <w:rPr>
          <w:rFonts w:ascii="Times New Roman" w:hAnsi="Times New Roman" w:cs="Times New Roman"/>
          <w:sz w:val="20"/>
          <w:szCs w:val="20"/>
        </w:rPr>
        <w:t>,</w:t>
      </w:r>
      <w:r w:rsidR="00EE7598" w:rsidRPr="00301C5C">
        <w:rPr>
          <w:rFonts w:ascii="Times New Roman" w:hAnsi="Times New Roman" w:cs="Times New Roman"/>
          <w:i/>
          <w:sz w:val="20"/>
          <w:szCs w:val="20"/>
        </w:rPr>
        <w:t>D</w:t>
      </w:r>
      <w:r w:rsidR="00EE7598" w:rsidRPr="00301C5C">
        <w:rPr>
          <w:rFonts w:ascii="Times New Roman" w:hAnsi="Times New Roman" w:cs="Times New Roman"/>
          <w:sz w:val="20"/>
          <w:szCs w:val="20"/>
        </w:rPr>
        <w:t>) of trees</w:t>
      </w:r>
      <w:r w:rsidR="008A778E" w:rsidRPr="00301C5C">
        <w:rPr>
          <w:rFonts w:ascii="Times New Roman" w:hAnsi="Times New Roman" w:cs="Times New Roman"/>
          <w:sz w:val="20"/>
          <w:szCs w:val="20"/>
        </w:rPr>
        <w:t>-ring width</w:t>
      </w:r>
      <w:r w:rsidR="00EE7598" w:rsidRPr="00301C5C">
        <w:rPr>
          <w:rFonts w:ascii="Times New Roman" w:hAnsi="Times New Roman" w:cs="Times New Roman"/>
          <w:sz w:val="20"/>
          <w:szCs w:val="20"/>
        </w:rPr>
        <w:t xml:space="preserve"> in </w:t>
      </w:r>
      <w:r w:rsidR="00EE7B0F" w:rsidRPr="00301C5C">
        <w:rPr>
          <w:rFonts w:ascii="Times New Roman" w:hAnsi="Times New Roman" w:cs="Times New Roman"/>
          <w:sz w:val="20"/>
          <w:szCs w:val="20"/>
        </w:rPr>
        <w:t xml:space="preserve">any </w:t>
      </w:r>
      <w:r w:rsidR="00EE7598" w:rsidRPr="00301C5C">
        <w:rPr>
          <w:rFonts w:ascii="Times New Roman" w:hAnsi="Times New Roman" w:cs="Times New Roman"/>
          <w:sz w:val="20"/>
          <w:szCs w:val="20"/>
        </w:rPr>
        <w:t xml:space="preserve">particular RT and year are shown (maximum number of trees </w:t>
      </w:r>
      <w:r w:rsidR="00EE7598" w:rsidRPr="00301C5C">
        <w:rPr>
          <w:rFonts w:ascii="Times New Roman" w:hAnsi="Times New Roman" w:cs="Times New Roman"/>
          <w:i/>
          <w:sz w:val="20"/>
          <w:szCs w:val="20"/>
        </w:rPr>
        <w:t>n</w:t>
      </w:r>
      <w:r w:rsidR="00EE7598" w:rsidRPr="00301C5C">
        <w:rPr>
          <w:rFonts w:ascii="Times New Roman" w:hAnsi="Times New Roman" w:cs="Times New Roman"/>
          <w:sz w:val="20"/>
          <w:szCs w:val="20"/>
          <w:vertAlign w:val="subscript"/>
        </w:rPr>
        <w:t>max</w:t>
      </w:r>
      <w:r w:rsidRPr="00301C5C">
        <w:rPr>
          <w:rFonts w:ascii="Times New Roman" w:hAnsi="Times New Roman" w:cs="Times New Roman"/>
          <w:sz w:val="20"/>
          <w:szCs w:val="20"/>
        </w:rPr>
        <w:t xml:space="preserve"> </w:t>
      </w:r>
      <w:r w:rsidR="00EE7598" w:rsidRPr="00301C5C">
        <w:rPr>
          <w:rFonts w:ascii="Times New Roman" w:hAnsi="Times New Roman" w:cs="Times New Roman"/>
          <w:sz w:val="20"/>
          <w:szCs w:val="20"/>
        </w:rPr>
        <w:t>=</w:t>
      </w:r>
      <w:r>
        <w:rPr>
          <w:rFonts w:ascii="Times New Roman" w:hAnsi="Times New Roman" w:cs="Times New Roman"/>
          <w:sz w:val="20"/>
          <w:szCs w:val="20"/>
        </w:rPr>
        <w:t xml:space="preserve"> </w:t>
      </w:r>
      <w:r w:rsidR="00EE7598" w:rsidRPr="00301C5C">
        <w:rPr>
          <w:rFonts w:ascii="Times New Roman" w:hAnsi="Times New Roman" w:cs="Times New Roman"/>
          <w:sz w:val="20"/>
          <w:szCs w:val="20"/>
        </w:rPr>
        <w:t>22 and 35 in RT1 and RT2, respectively). Residuals were calculated</w:t>
      </w:r>
      <w:r w:rsidR="002F1A6A" w:rsidRPr="00301C5C">
        <w:rPr>
          <w:rFonts w:ascii="Times New Roman" w:hAnsi="Times New Roman" w:cs="Times New Roman"/>
          <w:sz w:val="20"/>
          <w:szCs w:val="20"/>
        </w:rPr>
        <w:t xml:space="preserve"> for each tree</w:t>
      </w:r>
      <w:r w:rsidR="00EE7598" w:rsidRPr="00301C5C">
        <w:rPr>
          <w:rFonts w:ascii="Times New Roman" w:hAnsi="Times New Roman" w:cs="Times New Roman"/>
          <w:sz w:val="20"/>
          <w:szCs w:val="20"/>
        </w:rPr>
        <w:t xml:space="preserve"> as the difference between </w:t>
      </w:r>
      <w:r w:rsidR="00EE7B0F" w:rsidRPr="00301C5C">
        <w:rPr>
          <w:rFonts w:ascii="Times New Roman" w:hAnsi="Times New Roman" w:cs="Times New Roman"/>
          <w:sz w:val="20"/>
          <w:szCs w:val="20"/>
        </w:rPr>
        <w:t xml:space="preserve">the </w:t>
      </w:r>
      <w:r w:rsidR="00EE7598" w:rsidRPr="00301C5C">
        <w:rPr>
          <w:rFonts w:ascii="Times New Roman" w:hAnsi="Times New Roman" w:cs="Times New Roman"/>
          <w:sz w:val="20"/>
          <w:szCs w:val="20"/>
        </w:rPr>
        <w:t>10-year moving average and the ring width (</w:t>
      </w:r>
      <w:r w:rsidR="00EE7598" w:rsidRPr="00AB6C19">
        <w:rPr>
          <w:rFonts w:ascii="Times New Roman" w:hAnsi="Times New Roman" w:cs="Times New Roman"/>
          <w:i/>
          <w:sz w:val="20"/>
          <w:szCs w:val="20"/>
        </w:rPr>
        <w:t>C</w:t>
      </w:r>
      <w:r w:rsidR="00EE7598" w:rsidRPr="00301C5C">
        <w:rPr>
          <w:rFonts w:ascii="Times New Roman" w:hAnsi="Times New Roman" w:cs="Times New Roman"/>
          <w:sz w:val="20"/>
          <w:szCs w:val="20"/>
        </w:rPr>
        <w:t>) or SD (</w:t>
      </w:r>
      <w:r w:rsidR="00EE7598" w:rsidRPr="00AB6C19">
        <w:rPr>
          <w:rFonts w:ascii="Times New Roman" w:hAnsi="Times New Roman" w:cs="Times New Roman"/>
          <w:i/>
          <w:sz w:val="20"/>
          <w:szCs w:val="20"/>
        </w:rPr>
        <w:t>D</w:t>
      </w:r>
      <w:r w:rsidR="00EE7598" w:rsidRPr="00301C5C">
        <w:rPr>
          <w:rFonts w:ascii="Times New Roman" w:hAnsi="Times New Roman" w:cs="Times New Roman"/>
          <w:sz w:val="20"/>
          <w:szCs w:val="20"/>
        </w:rPr>
        <w:t>) in the given year</w:t>
      </w:r>
      <w:r w:rsidR="00AB6C19">
        <w:rPr>
          <w:rFonts w:ascii="Times New Roman" w:hAnsi="Times New Roman" w:cs="Times New Roman"/>
          <w:sz w:val="20"/>
          <w:szCs w:val="20"/>
        </w:rPr>
        <w:t>.</w:t>
      </w:r>
    </w:p>
    <w:p w14:paraId="46422AF5" w14:textId="77777777" w:rsidR="0086442D" w:rsidRPr="00301C5C" w:rsidRDefault="0086442D" w:rsidP="00301C5C">
      <w:pPr>
        <w:spacing w:after="0" w:line="240" w:lineRule="auto"/>
        <w:contextualSpacing/>
        <w:jc w:val="both"/>
        <w:rPr>
          <w:rFonts w:ascii="Times New Roman" w:hAnsi="Times New Roman" w:cs="Times New Roman"/>
          <w:sz w:val="20"/>
          <w:szCs w:val="20"/>
          <w:lang w:val="cs-CZ"/>
        </w:rPr>
      </w:pPr>
      <w:r w:rsidRPr="00301C5C">
        <w:rPr>
          <w:rFonts w:ascii="Times New Roman" w:hAnsi="Times New Roman" w:cs="Times New Roman"/>
          <w:noProof/>
          <w:sz w:val="20"/>
          <w:szCs w:val="20"/>
          <w:lang w:val="cs-CZ" w:eastAsia="cs-CZ"/>
        </w:rPr>
        <w:lastRenderedPageBreak/>
        <w:drawing>
          <wp:inline distT="0" distB="0" distL="0" distR="0" wp14:anchorId="28B5BB74" wp14:editId="5EE51121">
            <wp:extent cx="5760720" cy="5760720"/>
            <wp:effectExtent l="0" t="0" r="0" b="0"/>
            <wp:docPr id="3" name="Obrázek 1" descr="C:\Users\jsan\AppData\Local\Temp\Temp1_figures_final_final.zip\Suplemen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an\AppData\Local\Temp\Temp1_figures_final_final.zip\Suplement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C18B3C7" w14:textId="70A138D3" w:rsidR="00023906" w:rsidRPr="00301C5C" w:rsidRDefault="00AB6C19"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Fig. </w:t>
      </w:r>
      <w:r w:rsidR="00001948" w:rsidRPr="00301C5C">
        <w:rPr>
          <w:rFonts w:ascii="Times New Roman" w:hAnsi="Times New Roman" w:cs="Times New Roman"/>
          <w:sz w:val="20"/>
          <w:szCs w:val="20"/>
        </w:rPr>
        <w:t>6</w:t>
      </w:r>
      <w:r>
        <w:rPr>
          <w:rFonts w:ascii="Times New Roman" w:hAnsi="Times New Roman" w:cs="Times New Roman"/>
          <w:sz w:val="20"/>
          <w:szCs w:val="20"/>
        </w:rPr>
        <w:t>S.</w:t>
      </w:r>
      <w:r w:rsidR="00A90B3A" w:rsidRPr="00301C5C">
        <w:rPr>
          <w:rFonts w:ascii="Times New Roman" w:hAnsi="Times New Roman" w:cs="Times New Roman"/>
          <w:sz w:val="20"/>
          <w:szCs w:val="20"/>
        </w:rPr>
        <w:t xml:space="preserve"> Three indicators of </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vertAlign w:val="subscript"/>
        </w:rPr>
        <w:t>i</w:t>
      </w:r>
      <w:r w:rsidR="00A90B3A" w:rsidRPr="00301C5C">
        <w:rPr>
          <w:rFonts w:ascii="Times New Roman" w:hAnsi="Times New Roman" w:cs="Times New Roman"/>
          <w:sz w:val="20"/>
          <w:szCs w:val="20"/>
        </w:rPr>
        <w:t xml:space="preserve"> control (</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vertAlign w:val="subscript"/>
        </w:rPr>
        <w:t>i</w:t>
      </w:r>
      <w:r w:rsidR="00A90B3A" w:rsidRPr="00301C5C">
        <w:rPr>
          <w:rFonts w:ascii="Times New Roman" w:hAnsi="Times New Roman" w:cs="Times New Roman"/>
          <w:sz w:val="20"/>
          <w:szCs w:val="20"/>
        </w:rPr>
        <w:t xml:space="preserve">, </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vertAlign w:val="subscript"/>
        </w:rPr>
        <w:t>i</w:t>
      </w:r>
      <w:r w:rsidR="00A90B3A" w:rsidRPr="00301C5C">
        <w:rPr>
          <w:rFonts w:ascii="Times New Roman" w:hAnsi="Times New Roman" w:cs="Times New Roman"/>
          <w:sz w:val="20"/>
          <w:szCs w:val="20"/>
        </w:rPr>
        <w:t>/</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vertAlign w:val="subscript"/>
        </w:rPr>
        <w:t>a</w:t>
      </w:r>
      <w:r w:rsidR="00A90B3A" w:rsidRPr="00301C5C">
        <w:rPr>
          <w:rFonts w:ascii="Times New Roman" w:hAnsi="Times New Roman" w:cs="Times New Roman"/>
          <w:sz w:val="20"/>
          <w:szCs w:val="20"/>
        </w:rPr>
        <w:t xml:space="preserve">, </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vertAlign w:val="subscript"/>
        </w:rPr>
        <w:t>a</w:t>
      </w:r>
      <w:r>
        <w:rPr>
          <w:rFonts w:ascii="Times New Roman" w:hAnsi="Times New Roman" w:cs="Times New Roman"/>
          <w:sz w:val="20"/>
          <w:szCs w:val="20"/>
        </w:rPr>
        <w:t xml:space="preserve"> – </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vertAlign w:val="subscript"/>
        </w:rPr>
        <w:t>i</w:t>
      </w:r>
      <w:r w:rsidR="00A90B3A" w:rsidRPr="00301C5C">
        <w:rPr>
          <w:rFonts w:ascii="Times New Roman" w:hAnsi="Times New Roman" w:cs="Times New Roman"/>
          <w:sz w:val="20"/>
          <w:szCs w:val="20"/>
        </w:rPr>
        <w:t xml:space="preserve">) plotted against </w:t>
      </w:r>
      <w:r w:rsidR="00A90B3A" w:rsidRPr="00301C5C">
        <w:rPr>
          <w:rFonts w:ascii="Times New Roman" w:hAnsi="Times New Roman" w:cs="Times New Roman"/>
          <w:i/>
          <w:sz w:val="20"/>
          <w:szCs w:val="20"/>
        </w:rPr>
        <w:t>C</w:t>
      </w:r>
      <w:r w:rsidR="00A90B3A" w:rsidRPr="00301C5C">
        <w:rPr>
          <w:rFonts w:ascii="Times New Roman" w:hAnsi="Times New Roman" w:cs="Times New Roman"/>
          <w:sz w:val="20"/>
          <w:szCs w:val="20"/>
          <w:vertAlign w:val="subscript"/>
        </w:rPr>
        <w:t>a</w:t>
      </w:r>
      <w:r w:rsidR="00A90B3A" w:rsidRPr="00301C5C">
        <w:rPr>
          <w:rFonts w:ascii="Times New Roman" w:hAnsi="Times New Roman" w:cs="Times New Roman"/>
          <w:sz w:val="20"/>
          <w:szCs w:val="20"/>
        </w:rPr>
        <w:t xml:space="preserve"> for three periods of the last hundred years of spruce tree ontogeny.</w:t>
      </w:r>
      <w:r>
        <w:rPr>
          <w:rFonts w:ascii="Times New Roman" w:hAnsi="Times New Roman" w:cs="Times New Roman"/>
          <w:sz w:val="20"/>
          <w:szCs w:val="20"/>
        </w:rPr>
        <w:t xml:space="preserve"> </w:t>
      </w:r>
      <w:r w:rsidR="00EE7598" w:rsidRPr="00301C5C">
        <w:rPr>
          <w:rFonts w:ascii="Times New Roman" w:hAnsi="Times New Roman" w:cs="Times New Roman"/>
          <w:sz w:val="20"/>
          <w:szCs w:val="20"/>
        </w:rPr>
        <w:t xml:space="preserve">The figure indicates how the strategy of </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vertAlign w:val="subscript"/>
        </w:rPr>
        <w:t>i</w:t>
      </w:r>
      <w:r w:rsidR="00EE7598" w:rsidRPr="00301C5C">
        <w:rPr>
          <w:rFonts w:ascii="Times New Roman" w:hAnsi="Times New Roman" w:cs="Times New Roman"/>
          <w:sz w:val="20"/>
          <w:szCs w:val="20"/>
        </w:rPr>
        <w:t xml:space="preserve"> control for </w:t>
      </w:r>
      <w:r w:rsidR="00EE7B0F" w:rsidRPr="00301C5C">
        <w:rPr>
          <w:rFonts w:ascii="Times New Roman" w:hAnsi="Times New Roman" w:cs="Times New Roman"/>
          <w:sz w:val="20"/>
          <w:szCs w:val="20"/>
        </w:rPr>
        <w:t xml:space="preserve">three distinctive </w:t>
      </w:r>
      <w:r w:rsidR="00EE7598" w:rsidRPr="00301C5C">
        <w:rPr>
          <w:rFonts w:ascii="Times New Roman" w:hAnsi="Times New Roman" w:cs="Times New Roman"/>
          <w:sz w:val="20"/>
          <w:szCs w:val="20"/>
        </w:rPr>
        <w:t>period</w:t>
      </w:r>
      <w:r w:rsidR="00EE7B0F" w:rsidRPr="00301C5C">
        <w:rPr>
          <w:rFonts w:ascii="Times New Roman" w:hAnsi="Times New Roman" w:cs="Times New Roman"/>
          <w:sz w:val="20"/>
          <w:szCs w:val="20"/>
        </w:rPr>
        <w:t>s</w:t>
      </w:r>
      <w:r w:rsidR="00EE7598" w:rsidRPr="00301C5C">
        <w:rPr>
          <w:rFonts w:ascii="Times New Roman" w:hAnsi="Times New Roman" w:cs="Times New Roman"/>
          <w:sz w:val="20"/>
          <w:szCs w:val="20"/>
        </w:rPr>
        <w:t xml:space="preserve"> was determined</w:t>
      </w:r>
      <w:r w:rsidR="00EE7B0F" w:rsidRPr="00301C5C">
        <w:rPr>
          <w:rFonts w:ascii="Times New Roman" w:hAnsi="Times New Roman" w:cs="Times New Roman"/>
          <w:sz w:val="20"/>
          <w:szCs w:val="20"/>
        </w:rPr>
        <w:t xml:space="preserve">, using </w:t>
      </w:r>
      <w:r w:rsidR="00EE7598" w:rsidRPr="00301C5C">
        <w:rPr>
          <w:rFonts w:ascii="Times New Roman" w:hAnsi="Times New Roman" w:cs="Times New Roman"/>
          <w:sz w:val="20"/>
          <w:szCs w:val="20"/>
        </w:rPr>
        <w:t xml:space="preserve">tree </w:t>
      </w:r>
      <w:r w:rsidR="00EE7B0F" w:rsidRPr="00301C5C">
        <w:rPr>
          <w:rFonts w:ascii="Times New Roman" w:hAnsi="Times New Roman" w:cs="Times New Roman"/>
          <w:sz w:val="20"/>
          <w:szCs w:val="20"/>
        </w:rPr>
        <w:t>no.</w:t>
      </w:r>
      <w:r w:rsidR="00EE7598" w:rsidRPr="00301C5C">
        <w:rPr>
          <w:rFonts w:ascii="Times New Roman" w:hAnsi="Times New Roman" w:cs="Times New Roman"/>
          <w:sz w:val="20"/>
          <w:szCs w:val="20"/>
        </w:rPr>
        <w:t xml:space="preserve"> ID</w:t>
      </w:r>
      <w:r w:rsidR="002F1A6A" w:rsidRPr="00301C5C">
        <w:rPr>
          <w:rFonts w:ascii="Times New Roman" w:hAnsi="Times New Roman" w:cs="Times New Roman"/>
          <w:sz w:val="20"/>
          <w:szCs w:val="20"/>
        </w:rPr>
        <w:t xml:space="preserve"> </w:t>
      </w:r>
      <w:r w:rsidR="00EE7598" w:rsidRPr="00301C5C">
        <w:rPr>
          <w:rFonts w:ascii="Times New Roman" w:hAnsi="Times New Roman" w:cs="Times New Roman"/>
          <w:sz w:val="20"/>
          <w:szCs w:val="20"/>
        </w:rPr>
        <w:t>66</w:t>
      </w:r>
      <w:r w:rsidR="00EE7B0F" w:rsidRPr="00301C5C">
        <w:rPr>
          <w:rFonts w:ascii="Times New Roman" w:hAnsi="Times New Roman" w:cs="Times New Roman"/>
          <w:sz w:val="20"/>
          <w:szCs w:val="20"/>
        </w:rPr>
        <w:t xml:space="preserve"> as an example</w:t>
      </w:r>
      <w:r w:rsidR="00EE7598" w:rsidRPr="00301C5C">
        <w:rPr>
          <w:rFonts w:ascii="Times New Roman" w:hAnsi="Times New Roman" w:cs="Times New Roman"/>
          <w:sz w:val="20"/>
          <w:szCs w:val="20"/>
        </w:rPr>
        <w:t>. In each period, we wer</w:t>
      </w:r>
      <w:r>
        <w:rPr>
          <w:rFonts w:ascii="Times New Roman" w:hAnsi="Times New Roman" w:cs="Times New Roman"/>
          <w:sz w:val="20"/>
          <w:szCs w:val="20"/>
        </w:rPr>
        <w:t>e looking for statistically non</w:t>
      </w:r>
      <w:r w:rsidR="00EE7598" w:rsidRPr="00301C5C">
        <w:rPr>
          <w:rFonts w:ascii="Times New Roman" w:hAnsi="Times New Roman" w:cs="Times New Roman"/>
          <w:sz w:val="20"/>
          <w:szCs w:val="20"/>
        </w:rPr>
        <w:t>significant changes in one of the</w:t>
      </w:r>
      <w:r w:rsidR="00EE7B0F" w:rsidRPr="00301C5C">
        <w:rPr>
          <w:rFonts w:ascii="Times New Roman" w:hAnsi="Times New Roman" w:cs="Times New Roman"/>
          <w:sz w:val="20"/>
          <w:szCs w:val="20"/>
        </w:rPr>
        <w:t xml:space="preserve"> parameters</w:t>
      </w:r>
      <w:r w:rsidR="00EE7598" w:rsidRPr="00301C5C">
        <w:rPr>
          <w:rFonts w:ascii="Times New Roman" w:hAnsi="Times New Roman" w:cs="Times New Roman"/>
          <w:sz w:val="20"/>
          <w:szCs w:val="20"/>
        </w:rPr>
        <w:t xml:space="preserve"> </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vertAlign w:val="subscript"/>
        </w:rPr>
        <w:t>i</w:t>
      </w:r>
      <w:r w:rsidR="00EE7598" w:rsidRPr="00301C5C">
        <w:rPr>
          <w:rFonts w:ascii="Times New Roman" w:hAnsi="Times New Roman" w:cs="Times New Roman"/>
          <w:sz w:val="20"/>
          <w:szCs w:val="20"/>
        </w:rPr>
        <w:t xml:space="preserve">, </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vertAlign w:val="subscript"/>
        </w:rPr>
        <w:t>i</w:t>
      </w:r>
      <w:r w:rsidR="00EE7598" w:rsidRPr="00301C5C">
        <w:rPr>
          <w:rFonts w:ascii="Times New Roman" w:hAnsi="Times New Roman" w:cs="Times New Roman"/>
          <w:sz w:val="20"/>
          <w:szCs w:val="20"/>
        </w:rPr>
        <w:t>/</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vertAlign w:val="subscript"/>
        </w:rPr>
        <w:t>a</w:t>
      </w:r>
      <w:r w:rsidR="00EE7598" w:rsidRPr="00301C5C">
        <w:rPr>
          <w:rFonts w:ascii="Times New Roman" w:hAnsi="Times New Roman" w:cs="Times New Roman"/>
          <w:sz w:val="20"/>
          <w:szCs w:val="20"/>
        </w:rPr>
        <w:t xml:space="preserve"> or </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vertAlign w:val="subscript"/>
        </w:rPr>
        <w:t>a</w:t>
      </w:r>
      <w:r w:rsidRPr="00AB6C19">
        <w:rPr>
          <w:rFonts w:ascii="Times New Roman" w:hAnsi="Times New Roman" w:cs="Times New Roman"/>
          <w:sz w:val="20"/>
          <w:szCs w:val="20"/>
        </w:rPr>
        <w:t xml:space="preserve"> </w:t>
      </w:r>
      <w:r>
        <w:rPr>
          <w:rFonts w:ascii="Times New Roman" w:hAnsi="Times New Roman" w:cs="Times New Roman"/>
          <w:sz w:val="20"/>
          <w:szCs w:val="20"/>
        </w:rPr>
        <w:t xml:space="preserve">– </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vertAlign w:val="subscript"/>
        </w:rPr>
        <w:t>i</w:t>
      </w:r>
      <w:r w:rsidR="00EE7B0F" w:rsidRPr="00301C5C">
        <w:rPr>
          <w:rFonts w:ascii="Times New Roman" w:hAnsi="Times New Roman" w:cs="Times New Roman"/>
          <w:sz w:val="20"/>
          <w:szCs w:val="20"/>
        </w:rPr>
        <w:t xml:space="preserve">, </w:t>
      </w:r>
      <w:r w:rsidR="00EE7598" w:rsidRPr="00301C5C">
        <w:rPr>
          <w:rFonts w:ascii="Times New Roman" w:hAnsi="Times New Roman" w:cs="Times New Roman"/>
          <w:sz w:val="20"/>
          <w:szCs w:val="20"/>
        </w:rPr>
        <w:t>using the probability values</w:t>
      </w:r>
      <w:r w:rsidR="00EE7B0F" w:rsidRPr="00301C5C">
        <w:rPr>
          <w:rFonts w:ascii="Times New Roman" w:hAnsi="Times New Roman" w:cs="Times New Roman"/>
          <w:sz w:val="20"/>
          <w:szCs w:val="20"/>
        </w:rPr>
        <w:t xml:space="preserve"> (</w:t>
      </w:r>
      <w:r w:rsidR="00EE7B0F" w:rsidRPr="00AB6C19">
        <w:rPr>
          <w:rFonts w:ascii="Times New Roman" w:hAnsi="Times New Roman" w:cs="Times New Roman"/>
          <w:i/>
          <w:sz w:val="20"/>
          <w:szCs w:val="20"/>
        </w:rPr>
        <w:t>p</w:t>
      </w:r>
      <w:r w:rsidR="00EE7B0F" w:rsidRPr="00301C5C">
        <w:rPr>
          <w:rFonts w:ascii="Times New Roman" w:hAnsi="Times New Roman" w:cs="Times New Roman"/>
          <w:sz w:val="20"/>
          <w:szCs w:val="20"/>
        </w:rPr>
        <w:t>)</w:t>
      </w:r>
      <w:r w:rsidR="00EE7598" w:rsidRPr="00301C5C">
        <w:rPr>
          <w:rFonts w:ascii="Times New Roman" w:hAnsi="Times New Roman" w:cs="Times New Roman"/>
          <w:sz w:val="20"/>
          <w:szCs w:val="20"/>
        </w:rPr>
        <w:t xml:space="preserve"> of linear regression. The parameter w</w:t>
      </w:r>
      <w:r w:rsidR="00EE7B0F" w:rsidRPr="00301C5C">
        <w:rPr>
          <w:rFonts w:ascii="Times New Roman" w:hAnsi="Times New Roman" w:cs="Times New Roman"/>
          <w:sz w:val="20"/>
          <w:szCs w:val="20"/>
        </w:rPr>
        <w:t>h</w:t>
      </w:r>
      <w:r w:rsidR="00EE7598" w:rsidRPr="00301C5C">
        <w:rPr>
          <w:rFonts w:ascii="Times New Roman" w:hAnsi="Times New Roman" w:cs="Times New Roman"/>
          <w:sz w:val="20"/>
          <w:szCs w:val="20"/>
        </w:rPr>
        <w:t xml:space="preserve">ich did not correlate with </w:t>
      </w:r>
      <w:r w:rsidR="00EE7598" w:rsidRPr="00301C5C">
        <w:rPr>
          <w:rFonts w:ascii="Times New Roman" w:hAnsi="Times New Roman" w:cs="Times New Roman"/>
          <w:i/>
          <w:sz w:val="20"/>
          <w:szCs w:val="20"/>
        </w:rPr>
        <w:t>C</w:t>
      </w:r>
      <w:r w:rsidR="00EE7598" w:rsidRPr="00301C5C">
        <w:rPr>
          <w:rFonts w:ascii="Times New Roman" w:hAnsi="Times New Roman" w:cs="Times New Roman"/>
          <w:sz w:val="20"/>
          <w:szCs w:val="20"/>
          <w:vertAlign w:val="subscript"/>
        </w:rPr>
        <w:t>a</w:t>
      </w:r>
      <w:r w:rsidR="00EE7598" w:rsidRPr="00301C5C">
        <w:rPr>
          <w:rFonts w:ascii="Times New Roman" w:hAnsi="Times New Roman" w:cs="Times New Roman"/>
          <w:sz w:val="20"/>
          <w:szCs w:val="20"/>
        </w:rPr>
        <w:t xml:space="preserve"> was determined (</w:t>
      </w:r>
      <w:r w:rsidR="00EE7598" w:rsidRPr="00AB6C19">
        <w:rPr>
          <w:rFonts w:ascii="Times New Roman" w:hAnsi="Times New Roman" w:cs="Times New Roman"/>
          <w:i/>
          <w:sz w:val="20"/>
          <w:szCs w:val="20"/>
        </w:rPr>
        <w:t>red points</w:t>
      </w:r>
      <w:r w:rsidR="00EE7598" w:rsidRPr="00301C5C">
        <w:rPr>
          <w:rFonts w:ascii="Times New Roman" w:hAnsi="Times New Roman" w:cs="Times New Roman"/>
          <w:sz w:val="20"/>
          <w:szCs w:val="20"/>
        </w:rPr>
        <w:t xml:space="preserve"> and </w:t>
      </w:r>
      <w:r w:rsidR="00EE7598" w:rsidRPr="00AB6C19">
        <w:rPr>
          <w:rFonts w:ascii="Times New Roman" w:hAnsi="Times New Roman" w:cs="Times New Roman"/>
          <w:i/>
          <w:sz w:val="20"/>
          <w:szCs w:val="20"/>
        </w:rPr>
        <w:t>regression lines</w:t>
      </w:r>
      <w:r w:rsidR="00EE7598" w:rsidRPr="00301C5C">
        <w:rPr>
          <w:rFonts w:ascii="Times New Roman" w:hAnsi="Times New Roman" w:cs="Times New Roman"/>
          <w:sz w:val="20"/>
          <w:szCs w:val="20"/>
        </w:rPr>
        <w:t>) for each single tree and each period.</w:t>
      </w:r>
    </w:p>
    <w:p w14:paraId="198863F5" w14:textId="6C105742" w:rsidR="000A0F86" w:rsidRPr="00301C5C" w:rsidRDefault="000A0F86" w:rsidP="00301C5C">
      <w:pPr>
        <w:spacing w:after="0" w:line="240" w:lineRule="auto"/>
        <w:contextualSpacing/>
        <w:jc w:val="both"/>
        <w:rPr>
          <w:rFonts w:ascii="Times New Roman" w:hAnsi="Times New Roman" w:cs="Times New Roman"/>
          <w:sz w:val="20"/>
          <w:szCs w:val="20"/>
        </w:rPr>
      </w:pPr>
      <w:r w:rsidRPr="00301C5C">
        <w:rPr>
          <w:rFonts w:ascii="Times New Roman" w:hAnsi="Times New Roman" w:cs="Times New Roman"/>
          <w:noProof/>
          <w:sz w:val="20"/>
          <w:szCs w:val="20"/>
          <w:lang w:val="cs-CZ" w:eastAsia="cs-CZ"/>
        </w:rPr>
        <w:lastRenderedPageBreak/>
        <w:drawing>
          <wp:inline distT="0" distB="0" distL="0" distR="0" wp14:anchorId="49F082C6" wp14:editId="4F0C572B">
            <wp:extent cx="5760720" cy="432054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cept_WUE&amp;AvsCa.tif"/>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F125392" w14:textId="4219A4DD" w:rsidR="000A0F86" w:rsidRPr="00301C5C" w:rsidRDefault="00AB6C19"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Fig. </w:t>
      </w:r>
      <w:r w:rsidR="000A0F86" w:rsidRPr="00301C5C">
        <w:rPr>
          <w:rFonts w:ascii="Times New Roman" w:hAnsi="Times New Roman" w:cs="Times New Roman"/>
          <w:sz w:val="20"/>
          <w:szCs w:val="20"/>
        </w:rPr>
        <w:t>7</w:t>
      </w:r>
      <w:r>
        <w:rPr>
          <w:rFonts w:ascii="Times New Roman" w:hAnsi="Times New Roman" w:cs="Times New Roman"/>
          <w:sz w:val="20"/>
          <w:szCs w:val="20"/>
        </w:rPr>
        <w:t>S.</w:t>
      </w:r>
      <w:r w:rsidR="000A0F86" w:rsidRPr="00301C5C">
        <w:rPr>
          <w:rFonts w:ascii="Times New Roman" w:hAnsi="Times New Roman" w:cs="Times New Roman"/>
          <w:sz w:val="20"/>
          <w:szCs w:val="20"/>
        </w:rPr>
        <w:t xml:space="preserve"> Schema</w:t>
      </w:r>
      <w:r>
        <w:rPr>
          <w:rFonts w:ascii="Times New Roman" w:hAnsi="Times New Roman" w:cs="Times New Roman"/>
          <w:sz w:val="20"/>
          <w:szCs w:val="20"/>
        </w:rPr>
        <w:t>tic response of intrinsic water-</w:t>
      </w:r>
      <w:r w:rsidR="000A0F86" w:rsidRPr="00301C5C">
        <w:rPr>
          <w:rFonts w:ascii="Times New Roman" w:hAnsi="Times New Roman" w:cs="Times New Roman"/>
          <w:sz w:val="20"/>
          <w:szCs w:val="20"/>
        </w:rPr>
        <w:t>use efficiency (WUE</w:t>
      </w:r>
      <w:r w:rsidR="000A0F86" w:rsidRPr="00301C5C">
        <w:rPr>
          <w:rFonts w:ascii="Times New Roman" w:hAnsi="Times New Roman" w:cs="Times New Roman"/>
          <w:sz w:val="20"/>
          <w:szCs w:val="20"/>
          <w:vertAlign w:val="subscript"/>
        </w:rPr>
        <w:t>i</w:t>
      </w:r>
      <w:r w:rsidR="000A0F86" w:rsidRPr="00301C5C">
        <w:rPr>
          <w:rFonts w:ascii="Times New Roman" w:hAnsi="Times New Roman" w:cs="Times New Roman"/>
          <w:sz w:val="20"/>
          <w:szCs w:val="20"/>
        </w:rPr>
        <w:t>) and photosynthetic rate (</w:t>
      </w:r>
      <w:r w:rsidR="000A0F86" w:rsidRPr="00301C5C">
        <w:rPr>
          <w:rFonts w:ascii="Times New Roman" w:hAnsi="Times New Roman" w:cs="Times New Roman"/>
          <w:i/>
          <w:sz w:val="20"/>
          <w:szCs w:val="20"/>
        </w:rPr>
        <w:t>A</w:t>
      </w:r>
      <w:r w:rsidR="000A0F86" w:rsidRPr="00301C5C">
        <w:rPr>
          <w:rFonts w:ascii="Times New Roman" w:hAnsi="Times New Roman" w:cs="Times New Roman"/>
          <w:sz w:val="20"/>
          <w:szCs w:val="20"/>
        </w:rPr>
        <w:t xml:space="preserve">) to increasing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a</w:t>
      </w:r>
      <w:r>
        <w:rPr>
          <w:rFonts w:ascii="Times New Roman" w:hAnsi="Times New Roman" w:cs="Times New Roman"/>
          <w:sz w:val="20"/>
          <w:szCs w:val="20"/>
        </w:rPr>
        <w:t xml:space="preserve"> </w:t>
      </w:r>
      <w:r w:rsidR="000A0F86" w:rsidRPr="00301C5C">
        <w:rPr>
          <w:rFonts w:ascii="Times New Roman" w:hAnsi="Times New Roman" w:cs="Times New Roman"/>
          <w:sz w:val="20"/>
          <w:szCs w:val="20"/>
        </w:rPr>
        <w:t xml:space="preserve">in the situation when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i</w:t>
      </w:r>
      <w:r w:rsidR="000A0F86" w:rsidRPr="00301C5C">
        <w:rPr>
          <w:rFonts w:ascii="Times New Roman" w:hAnsi="Times New Roman" w:cs="Times New Roman"/>
          <w:sz w:val="20"/>
          <w:szCs w:val="20"/>
        </w:rPr>
        <w:t xml:space="preserve"> is concomitantly reduced.</w:t>
      </w:r>
      <w:r>
        <w:rPr>
          <w:rFonts w:ascii="Times New Roman" w:hAnsi="Times New Roman" w:cs="Times New Roman"/>
          <w:sz w:val="20"/>
          <w:szCs w:val="20"/>
        </w:rPr>
        <w:t xml:space="preserve"> </w:t>
      </w:r>
      <w:r w:rsidR="000A0F86" w:rsidRPr="00301C5C">
        <w:rPr>
          <w:rFonts w:ascii="Times New Roman" w:hAnsi="Times New Roman" w:cs="Times New Roman"/>
          <w:sz w:val="20"/>
          <w:szCs w:val="20"/>
        </w:rPr>
        <w:t>Decreasing leaf internal CO</w:t>
      </w:r>
      <w:r w:rsidR="000A0F86" w:rsidRPr="00301C5C">
        <w:rPr>
          <w:rFonts w:ascii="Times New Roman" w:hAnsi="Times New Roman" w:cs="Times New Roman"/>
          <w:sz w:val="20"/>
          <w:szCs w:val="20"/>
          <w:vertAlign w:val="subscript"/>
        </w:rPr>
        <w:t>2</w:t>
      </w:r>
      <w:r w:rsidR="000A0F86" w:rsidRPr="00301C5C">
        <w:rPr>
          <w:rFonts w:ascii="Times New Roman" w:hAnsi="Times New Roman" w:cs="Times New Roman"/>
          <w:sz w:val="20"/>
          <w:szCs w:val="20"/>
        </w:rPr>
        <w:t xml:space="preserve"> concentration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i</w:t>
      </w:r>
      <w:r w:rsidR="000A0F86" w:rsidRPr="00301C5C">
        <w:rPr>
          <w:rFonts w:ascii="Times New Roman" w:hAnsi="Times New Roman" w:cs="Times New Roman"/>
          <w:sz w:val="20"/>
          <w:szCs w:val="20"/>
        </w:rPr>
        <w:t xml:space="preserve"> at increasing atmospheric CO</w:t>
      </w:r>
      <w:r w:rsidR="000A0F86" w:rsidRPr="00301C5C">
        <w:rPr>
          <w:rFonts w:ascii="Times New Roman" w:hAnsi="Times New Roman" w:cs="Times New Roman"/>
          <w:sz w:val="20"/>
          <w:szCs w:val="20"/>
          <w:vertAlign w:val="subscript"/>
        </w:rPr>
        <w:t>2</w:t>
      </w:r>
      <w:r w:rsidR="000A0F86" w:rsidRPr="00301C5C">
        <w:rPr>
          <w:rFonts w:ascii="Times New Roman" w:hAnsi="Times New Roman" w:cs="Times New Roman"/>
          <w:sz w:val="20"/>
          <w:szCs w:val="20"/>
        </w:rPr>
        <w:t xml:space="preserve"> concentration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a</w:t>
      </w:r>
      <w:r w:rsidR="000A0F86" w:rsidRPr="00301C5C">
        <w:rPr>
          <w:rFonts w:ascii="Times New Roman" w:hAnsi="Times New Roman" w:cs="Times New Roman"/>
          <w:sz w:val="20"/>
          <w:szCs w:val="20"/>
        </w:rPr>
        <w:t xml:space="preserve"> (</w:t>
      </w:r>
      <w:r w:rsidR="000A0F86" w:rsidRPr="00301C5C">
        <w:rPr>
          <w:rFonts w:ascii="Times New Roman" w:hAnsi="Times New Roman" w:cs="Times New Roman"/>
          <w:i/>
          <w:sz w:val="20"/>
          <w:szCs w:val="20"/>
        </w:rPr>
        <w:t>s</w:t>
      </w:r>
      <w:r>
        <w:rPr>
          <w:rFonts w:ascii="Times New Roman" w:hAnsi="Times New Roman" w:cs="Times New Roman"/>
          <w:i/>
          <w:sz w:val="20"/>
          <w:szCs w:val="20"/>
        </w:rPr>
        <w:t xml:space="preserve"> </w:t>
      </w:r>
      <w:r w:rsidR="000A0F86" w:rsidRPr="00301C5C">
        <w:rPr>
          <w:rFonts w:ascii="Times New Roman" w:hAnsi="Times New Roman" w:cs="Times New Roman"/>
          <w:sz w:val="20"/>
          <w:szCs w:val="20"/>
        </w:rPr>
        <w:t>&lt;</w:t>
      </w:r>
      <w:r>
        <w:rPr>
          <w:rFonts w:ascii="Times New Roman" w:hAnsi="Times New Roman" w:cs="Times New Roman"/>
          <w:sz w:val="20"/>
          <w:szCs w:val="20"/>
        </w:rPr>
        <w:t xml:space="preserve"> </w:t>
      </w:r>
      <w:r w:rsidR="000A0F86" w:rsidRPr="00301C5C">
        <w:rPr>
          <w:rFonts w:ascii="Times New Roman" w:hAnsi="Times New Roman" w:cs="Times New Roman"/>
          <w:sz w:val="20"/>
          <w:szCs w:val="20"/>
        </w:rPr>
        <w:t xml:space="preserve">1 in the inset of </w:t>
      </w:r>
      <w:r w:rsidR="000A0F86" w:rsidRPr="00AB6C19">
        <w:rPr>
          <w:rFonts w:ascii="Times New Roman" w:hAnsi="Times New Roman" w:cs="Times New Roman"/>
          <w:i/>
          <w:sz w:val="20"/>
          <w:szCs w:val="20"/>
        </w:rPr>
        <w:t>A</w:t>
      </w:r>
      <w:r w:rsidR="000A0F86" w:rsidRPr="00301C5C">
        <w:rPr>
          <w:rFonts w:ascii="Times New Roman" w:hAnsi="Times New Roman" w:cs="Times New Roman"/>
          <w:sz w:val="20"/>
          <w:szCs w:val="20"/>
        </w:rPr>
        <w:t>) requires the decline of both photosynthetic rate and stomatal conductance (</w:t>
      </w:r>
      <w:r w:rsidR="000A0F86" w:rsidRPr="00AB6C19">
        <w:rPr>
          <w:rFonts w:ascii="Times New Roman" w:hAnsi="Times New Roman" w:cs="Times New Roman"/>
          <w:i/>
          <w:sz w:val="20"/>
          <w:szCs w:val="20"/>
        </w:rPr>
        <w:t>B</w:t>
      </w:r>
      <w:r w:rsidR="000A0F86" w:rsidRPr="00301C5C">
        <w:rPr>
          <w:rFonts w:ascii="Times New Roman" w:hAnsi="Times New Roman" w:cs="Times New Roman"/>
          <w:sz w:val="20"/>
          <w:szCs w:val="20"/>
        </w:rPr>
        <w:t xml:space="preserve">), assuming that parameters of the </w:t>
      </w:r>
      <w:r w:rsidR="000A0F86" w:rsidRPr="00301C5C">
        <w:rPr>
          <w:rFonts w:ascii="Times New Roman" w:hAnsi="Times New Roman" w:cs="Times New Roman"/>
          <w:i/>
          <w:sz w:val="20"/>
          <w:szCs w:val="20"/>
        </w:rPr>
        <w:t>A</w:t>
      </w:r>
      <w:r w:rsidR="000A0F86" w:rsidRPr="00301C5C">
        <w:rPr>
          <w:rFonts w:ascii="Times New Roman" w:hAnsi="Times New Roman" w:cs="Times New Roman"/>
          <w:sz w:val="20"/>
          <w:szCs w:val="20"/>
        </w:rPr>
        <w:t xml:space="preserve"> </w:t>
      </w:r>
      <w:r w:rsidR="000A0F86" w:rsidRPr="00301C5C">
        <w:rPr>
          <w:rFonts w:ascii="Times New Roman" w:hAnsi="Times New Roman" w:cs="Times New Roman"/>
          <w:i/>
          <w:sz w:val="20"/>
          <w:szCs w:val="20"/>
        </w:rPr>
        <w:t>vs.</w:t>
      </w:r>
      <w:r w:rsidR="000A0F86" w:rsidRPr="00301C5C">
        <w:rPr>
          <w:rFonts w:ascii="Times New Roman" w:hAnsi="Times New Roman" w:cs="Times New Roman"/>
          <w:sz w:val="20"/>
          <w:szCs w:val="20"/>
        </w:rPr>
        <w:t xml:space="preserve">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i</w:t>
      </w:r>
      <w:r w:rsidR="000A0F86" w:rsidRPr="00301C5C">
        <w:rPr>
          <w:rFonts w:ascii="Times New Roman" w:hAnsi="Times New Roman" w:cs="Times New Roman"/>
          <w:sz w:val="20"/>
          <w:szCs w:val="20"/>
        </w:rPr>
        <w:t xml:space="preserve"> curve (shape of the curve in </w:t>
      </w:r>
      <w:r w:rsidR="000A0F86" w:rsidRPr="00AB6C19">
        <w:rPr>
          <w:rFonts w:ascii="Times New Roman" w:hAnsi="Times New Roman" w:cs="Times New Roman"/>
          <w:i/>
          <w:sz w:val="20"/>
          <w:szCs w:val="20"/>
        </w:rPr>
        <w:t>B</w:t>
      </w:r>
      <w:r w:rsidR="000A0F86" w:rsidRPr="00301C5C">
        <w:rPr>
          <w:rFonts w:ascii="Times New Roman" w:hAnsi="Times New Roman" w:cs="Times New Roman"/>
          <w:sz w:val="20"/>
          <w:szCs w:val="20"/>
        </w:rPr>
        <w:t xml:space="preserve">) do not change with elevating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a</w:t>
      </w:r>
      <w:r w:rsidR="000A0F86" w:rsidRPr="00301C5C">
        <w:rPr>
          <w:rFonts w:ascii="Times New Roman" w:hAnsi="Times New Roman" w:cs="Times New Roman"/>
          <w:sz w:val="20"/>
          <w:szCs w:val="20"/>
        </w:rPr>
        <w:t>. If that is the case, WUE</w:t>
      </w:r>
      <w:r w:rsidR="000A0F86" w:rsidRPr="00301C5C">
        <w:rPr>
          <w:rFonts w:ascii="Times New Roman" w:hAnsi="Times New Roman" w:cs="Times New Roman"/>
          <w:sz w:val="20"/>
          <w:szCs w:val="20"/>
          <w:vertAlign w:val="subscript"/>
        </w:rPr>
        <w:t>i</w:t>
      </w:r>
      <w:r w:rsidR="000A0F86" w:rsidRPr="00301C5C">
        <w:rPr>
          <w:rFonts w:ascii="Times New Roman" w:hAnsi="Times New Roman" w:cs="Times New Roman"/>
          <w:sz w:val="20"/>
          <w:szCs w:val="20"/>
        </w:rPr>
        <w:t xml:space="preserve"> plotted against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a</w:t>
      </w:r>
      <w:r w:rsidR="000A0F86" w:rsidRPr="00301C5C">
        <w:rPr>
          <w:rFonts w:ascii="Times New Roman" w:hAnsi="Times New Roman" w:cs="Times New Roman"/>
          <w:sz w:val="20"/>
          <w:szCs w:val="20"/>
        </w:rPr>
        <w:t xml:space="preserve"> increases with the slope </w:t>
      </w:r>
      <w:r w:rsidR="000A0F86" w:rsidRPr="00301C5C">
        <w:rPr>
          <w:rFonts w:ascii="Times New Roman" w:hAnsi="Times New Roman" w:cs="Times New Roman"/>
          <w:i/>
          <w:sz w:val="20"/>
          <w:szCs w:val="20"/>
        </w:rPr>
        <w:t>l</w:t>
      </w:r>
      <w:r w:rsidR="000A0F86" w:rsidRPr="00301C5C">
        <w:rPr>
          <w:rFonts w:ascii="Times New Roman" w:hAnsi="Times New Roman" w:cs="Times New Roman"/>
          <w:sz w:val="20"/>
          <w:szCs w:val="20"/>
        </w:rPr>
        <w:t xml:space="preserve"> &gt; 1/1.6 (</w:t>
      </w:r>
      <w:r w:rsidR="000A0F86" w:rsidRPr="00AB6C19">
        <w:rPr>
          <w:rFonts w:ascii="Times New Roman" w:hAnsi="Times New Roman" w:cs="Times New Roman"/>
          <w:i/>
          <w:sz w:val="20"/>
          <w:szCs w:val="20"/>
        </w:rPr>
        <w:t>the bold line</w:t>
      </w:r>
      <w:r w:rsidR="000A0F86" w:rsidRPr="00301C5C">
        <w:rPr>
          <w:rFonts w:ascii="Times New Roman" w:hAnsi="Times New Roman" w:cs="Times New Roman"/>
          <w:sz w:val="20"/>
          <w:szCs w:val="20"/>
        </w:rPr>
        <w:t xml:space="preserve"> in </w:t>
      </w:r>
      <w:r w:rsidR="000A0F86" w:rsidRPr="00AB6C19">
        <w:rPr>
          <w:rFonts w:ascii="Times New Roman" w:hAnsi="Times New Roman" w:cs="Times New Roman"/>
          <w:i/>
          <w:sz w:val="20"/>
          <w:szCs w:val="20"/>
        </w:rPr>
        <w:t>A</w:t>
      </w:r>
      <w:r>
        <w:rPr>
          <w:rFonts w:ascii="Times New Roman" w:hAnsi="Times New Roman" w:cs="Times New Roman"/>
          <w:sz w:val="20"/>
          <w:szCs w:val="20"/>
        </w:rPr>
        <w:t>).</w:t>
      </w:r>
    </w:p>
    <w:p w14:paraId="694537FF" w14:textId="0B19715C" w:rsidR="000A0F86" w:rsidRPr="00301C5C" w:rsidRDefault="00A14E51" w:rsidP="00301C5C">
      <w:pPr>
        <w:spacing w:after="0" w:line="240" w:lineRule="auto"/>
        <w:contextualSpacing/>
        <w:jc w:val="both"/>
        <w:rPr>
          <w:rFonts w:ascii="Times New Roman" w:hAnsi="Times New Roman" w:cs="Times New Roman"/>
          <w:sz w:val="20"/>
          <w:szCs w:val="20"/>
        </w:rPr>
      </w:pPr>
      <w:r w:rsidRPr="00301C5C">
        <w:rPr>
          <w:rFonts w:ascii="Times New Roman" w:hAnsi="Times New Roman" w:cs="Times New Roman"/>
          <w:noProof/>
          <w:sz w:val="20"/>
          <w:szCs w:val="20"/>
          <w:lang w:val="cs-CZ" w:eastAsia="cs-CZ"/>
        </w:rPr>
        <w:lastRenderedPageBreak/>
        <w:drawing>
          <wp:inline distT="0" distB="0" distL="0" distR="0" wp14:anchorId="6A1E8F97" wp14:editId="2FBB6C81">
            <wp:extent cx="5760720" cy="4800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800600"/>
                    </a:xfrm>
                    <a:prstGeom prst="rect">
                      <a:avLst/>
                    </a:prstGeom>
                  </pic:spPr>
                </pic:pic>
              </a:graphicData>
            </a:graphic>
          </wp:inline>
        </w:drawing>
      </w:r>
    </w:p>
    <w:p w14:paraId="4165EC88" w14:textId="1D688645" w:rsidR="000A0F86" w:rsidRPr="00301C5C" w:rsidRDefault="00AB6C19"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Fig. </w:t>
      </w:r>
      <w:r w:rsidR="000A0F86" w:rsidRPr="00301C5C">
        <w:rPr>
          <w:rFonts w:ascii="Times New Roman" w:hAnsi="Times New Roman" w:cs="Times New Roman"/>
          <w:sz w:val="20"/>
          <w:szCs w:val="20"/>
        </w:rPr>
        <w:t>8</w:t>
      </w:r>
      <w:r>
        <w:rPr>
          <w:rFonts w:ascii="Times New Roman" w:hAnsi="Times New Roman" w:cs="Times New Roman"/>
          <w:sz w:val="20"/>
          <w:szCs w:val="20"/>
        </w:rPr>
        <w:t>S.</w:t>
      </w:r>
      <w:r w:rsidR="000A0F86" w:rsidRPr="00301C5C">
        <w:rPr>
          <w:rFonts w:ascii="Times New Roman" w:hAnsi="Times New Roman" w:cs="Times New Roman"/>
          <w:sz w:val="20"/>
          <w:szCs w:val="20"/>
        </w:rPr>
        <w:t xml:space="preserve"> Standard deviations (SD) of </w:t>
      </w:r>
      <w:r w:rsidR="000A0F86" w:rsidRPr="00301C5C">
        <w:rPr>
          <w:rFonts w:ascii="Times New Roman" w:hAnsi="Times New Roman" w:cs="Times New Roman"/>
          <w:sz w:val="20"/>
          <w:szCs w:val="20"/>
        </w:rPr>
        <w:sym w:font="Symbol" w:char="F044"/>
      </w:r>
      <w:r w:rsidR="000A0F86" w:rsidRPr="00301C5C">
        <w:rPr>
          <w:rFonts w:ascii="Times New Roman" w:hAnsi="Times New Roman" w:cs="Times New Roman"/>
          <w:sz w:val="20"/>
          <w:szCs w:val="20"/>
          <w:vertAlign w:val="superscript"/>
        </w:rPr>
        <w:t>13</w:t>
      </w:r>
      <w:r w:rsidR="000A0F86" w:rsidRPr="00301C5C">
        <w:rPr>
          <w:rFonts w:ascii="Times New Roman" w:hAnsi="Times New Roman" w:cs="Times New Roman"/>
          <w:sz w:val="20"/>
          <w:szCs w:val="20"/>
        </w:rPr>
        <w:t xml:space="preserve">C values estimated for particular </w:t>
      </w:r>
      <w:r w:rsidR="000A0F86" w:rsidRPr="00301C5C">
        <w:rPr>
          <w:rFonts w:ascii="Times New Roman" w:hAnsi="Times New Roman" w:cs="Times New Roman"/>
          <w:i/>
          <w:sz w:val="20"/>
          <w:szCs w:val="20"/>
        </w:rPr>
        <w:t>C</w:t>
      </w:r>
      <w:r w:rsidR="000A0F86" w:rsidRPr="00301C5C">
        <w:rPr>
          <w:rFonts w:ascii="Times New Roman" w:hAnsi="Times New Roman" w:cs="Times New Roman"/>
          <w:sz w:val="20"/>
          <w:szCs w:val="20"/>
          <w:vertAlign w:val="subscript"/>
        </w:rPr>
        <w:t>a</w:t>
      </w:r>
      <w:r w:rsidR="000A0F86" w:rsidRPr="00301C5C">
        <w:rPr>
          <w:rFonts w:ascii="Times New Roman" w:hAnsi="Times New Roman" w:cs="Times New Roman"/>
          <w:sz w:val="20"/>
          <w:szCs w:val="20"/>
        </w:rPr>
        <w:t xml:space="preserve"> values occurring between 1919 and 2014.</w:t>
      </w:r>
      <w:r>
        <w:rPr>
          <w:rFonts w:ascii="Times New Roman" w:hAnsi="Times New Roman" w:cs="Times New Roman"/>
          <w:sz w:val="20"/>
          <w:szCs w:val="20"/>
        </w:rPr>
        <w:t xml:space="preserve"> </w:t>
      </w:r>
      <w:r w:rsidR="000A0F86" w:rsidRPr="00301C5C">
        <w:rPr>
          <w:rFonts w:ascii="Times New Roman" w:hAnsi="Times New Roman" w:cs="Times New Roman"/>
          <w:sz w:val="20"/>
          <w:szCs w:val="20"/>
        </w:rPr>
        <w:t xml:space="preserve">SD of </w:t>
      </w:r>
      <w:r w:rsidR="000A0F86" w:rsidRPr="00301C5C">
        <w:rPr>
          <w:rFonts w:ascii="Times New Roman" w:hAnsi="Times New Roman" w:cs="Times New Roman"/>
          <w:sz w:val="20"/>
          <w:szCs w:val="20"/>
        </w:rPr>
        <w:sym w:font="Symbol" w:char="F044"/>
      </w:r>
      <w:r w:rsidR="000A0F86" w:rsidRPr="00301C5C">
        <w:rPr>
          <w:rFonts w:ascii="Times New Roman" w:hAnsi="Times New Roman" w:cs="Times New Roman"/>
          <w:sz w:val="20"/>
          <w:szCs w:val="20"/>
          <w:vertAlign w:val="superscript"/>
        </w:rPr>
        <w:t>13</w:t>
      </w:r>
      <w:r w:rsidR="000A0F86" w:rsidRPr="00301C5C">
        <w:rPr>
          <w:rFonts w:ascii="Times New Roman" w:hAnsi="Times New Roman" w:cs="Times New Roman"/>
          <w:sz w:val="20"/>
          <w:szCs w:val="20"/>
        </w:rPr>
        <w:t>C in RT1 trees (</w:t>
      </w:r>
      <w:r w:rsidR="000A0F86" w:rsidRPr="00AB6C19">
        <w:rPr>
          <w:rFonts w:ascii="Times New Roman" w:hAnsi="Times New Roman" w:cs="Times New Roman"/>
          <w:i/>
          <w:sz w:val="20"/>
          <w:szCs w:val="20"/>
        </w:rPr>
        <w:t>blue points</w:t>
      </w:r>
      <w:r w:rsidR="000A0F86" w:rsidRPr="00301C5C">
        <w:rPr>
          <w:rFonts w:ascii="Times New Roman" w:hAnsi="Times New Roman" w:cs="Times New Roman"/>
          <w:sz w:val="20"/>
          <w:szCs w:val="20"/>
        </w:rPr>
        <w:t xml:space="preserve"> and </w:t>
      </w:r>
      <w:r w:rsidR="000A0F86" w:rsidRPr="00AB6C19">
        <w:rPr>
          <w:rFonts w:ascii="Times New Roman" w:hAnsi="Times New Roman" w:cs="Times New Roman"/>
          <w:i/>
          <w:sz w:val="20"/>
          <w:szCs w:val="20"/>
        </w:rPr>
        <w:t>line</w:t>
      </w:r>
      <w:r w:rsidR="000A0F86" w:rsidRPr="00301C5C">
        <w:rPr>
          <w:rFonts w:ascii="Times New Roman" w:hAnsi="Times New Roman" w:cs="Times New Roman"/>
          <w:sz w:val="20"/>
          <w:szCs w:val="20"/>
        </w:rPr>
        <w:t>) was steady during the last hundred years while in RT2 trees (</w:t>
      </w:r>
      <w:r w:rsidR="000A0F86" w:rsidRPr="00AB6C19">
        <w:rPr>
          <w:rFonts w:ascii="Times New Roman" w:hAnsi="Times New Roman" w:cs="Times New Roman"/>
          <w:i/>
          <w:sz w:val="20"/>
          <w:szCs w:val="20"/>
        </w:rPr>
        <w:t>red symbols</w:t>
      </w:r>
      <w:r w:rsidR="000A0F86" w:rsidRPr="00301C5C">
        <w:rPr>
          <w:rFonts w:ascii="Times New Roman" w:hAnsi="Times New Roman" w:cs="Times New Roman"/>
          <w:sz w:val="20"/>
          <w:szCs w:val="20"/>
        </w:rPr>
        <w:t>) it was significantly lower and increased toward the present time.</w:t>
      </w:r>
    </w:p>
    <w:p w14:paraId="7DE5B581" w14:textId="4DA9EAFA" w:rsidR="000A0F86" w:rsidRPr="00301C5C" w:rsidRDefault="000A0F86" w:rsidP="00301C5C">
      <w:pPr>
        <w:spacing w:after="0" w:line="240" w:lineRule="auto"/>
        <w:contextualSpacing/>
        <w:jc w:val="both"/>
        <w:rPr>
          <w:rFonts w:ascii="Times New Roman" w:hAnsi="Times New Roman" w:cs="Times New Roman"/>
          <w:sz w:val="20"/>
          <w:szCs w:val="20"/>
        </w:rPr>
      </w:pPr>
      <w:r w:rsidRPr="00301C5C">
        <w:rPr>
          <w:rFonts w:ascii="Times New Roman" w:hAnsi="Times New Roman" w:cs="Times New Roman"/>
          <w:sz w:val="20"/>
          <w:szCs w:val="20"/>
        </w:rPr>
        <w:br w:type="page"/>
      </w:r>
    </w:p>
    <w:p w14:paraId="0616786A" w14:textId="5D359CB9" w:rsidR="0025659E" w:rsidRPr="00301C5C" w:rsidRDefault="00AB6C19" w:rsidP="00301C5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 xml:space="preserve">Table 1S. </w:t>
      </w:r>
      <w:r w:rsidR="0025659E" w:rsidRPr="00301C5C">
        <w:rPr>
          <w:rFonts w:ascii="Times New Roman" w:hAnsi="Times New Roman" w:cs="Times New Roman"/>
          <w:sz w:val="20"/>
          <w:szCs w:val="20"/>
        </w:rPr>
        <w:t>Slopes of the CO</w:t>
      </w:r>
      <w:r w:rsidR="0025659E" w:rsidRPr="00301C5C">
        <w:rPr>
          <w:rFonts w:ascii="Times New Roman" w:hAnsi="Times New Roman" w:cs="Times New Roman"/>
          <w:sz w:val="20"/>
          <w:szCs w:val="20"/>
          <w:vertAlign w:val="subscript"/>
        </w:rPr>
        <w:t>2</w:t>
      </w:r>
      <w:r w:rsidR="0025659E" w:rsidRPr="00301C5C">
        <w:rPr>
          <w:rFonts w:ascii="Times New Roman" w:hAnsi="Times New Roman" w:cs="Times New Roman"/>
          <w:sz w:val="20"/>
          <w:szCs w:val="20"/>
        </w:rPr>
        <w:t xml:space="preserve"> response of WUE</w:t>
      </w:r>
      <w:r w:rsidR="0025659E" w:rsidRPr="00301C5C">
        <w:rPr>
          <w:rFonts w:ascii="Times New Roman" w:hAnsi="Times New Roman" w:cs="Times New Roman"/>
          <w:sz w:val="20"/>
          <w:szCs w:val="20"/>
          <w:vertAlign w:val="subscript"/>
        </w:rPr>
        <w:t>i</w:t>
      </w:r>
      <w:r w:rsidR="0025659E" w:rsidRPr="00301C5C">
        <w:rPr>
          <w:rFonts w:ascii="Times New Roman" w:hAnsi="Times New Roman" w:cs="Times New Roman"/>
          <w:sz w:val="20"/>
          <w:szCs w:val="20"/>
        </w:rPr>
        <w:t xml:space="preserve"> (</w:t>
      </w:r>
      <w:r w:rsidR="0025659E" w:rsidRPr="00301C5C">
        <w:rPr>
          <w:rFonts w:ascii="Times New Roman" w:hAnsi="Times New Roman" w:cs="Times New Roman"/>
          <w:i/>
          <w:sz w:val="20"/>
          <w:szCs w:val="20"/>
        </w:rPr>
        <w:t>l</w:t>
      </w:r>
      <w:r w:rsidR="0025659E" w:rsidRPr="00301C5C">
        <w:rPr>
          <w:rFonts w:ascii="Times New Roman" w:hAnsi="Times New Roman" w:cs="Times New Roman"/>
          <w:sz w:val="20"/>
          <w:szCs w:val="20"/>
        </w:rPr>
        <w:t>)</w:t>
      </w:r>
      <w:r w:rsidR="0025659E" w:rsidRPr="00301C5C">
        <w:rPr>
          <w:rFonts w:ascii="Times New Roman" w:hAnsi="Times New Roman" w:cs="Times New Roman"/>
          <w:i/>
          <w:sz w:val="20"/>
          <w:szCs w:val="20"/>
        </w:rPr>
        <w:t xml:space="preserve"> </w:t>
      </w:r>
      <w:r w:rsidR="0025659E" w:rsidRPr="00301C5C">
        <w:rPr>
          <w:rFonts w:ascii="Times New Roman" w:hAnsi="Times New Roman" w:cs="Times New Roman"/>
          <w:sz w:val="20"/>
          <w:szCs w:val="20"/>
        </w:rPr>
        <w:t>and CO</w:t>
      </w:r>
      <w:r w:rsidR="0025659E" w:rsidRPr="00301C5C">
        <w:rPr>
          <w:rFonts w:ascii="Times New Roman" w:hAnsi="Times New Roman" w:cs="Times New Roman"/>
          <w:sz w:val="20"/>
          <w:szCs w:val="20"/>
          <w:vertAlign w:val="subscript"/>
        </w:rPr>
        <w:t>2</w:t>
      </w:r>
      <w:r w:rsidR="0025659E" w:rsidRPr="00301C5C">
        <w:rPr>
          <w:rFonts w:ascii="Times New Roman" w:hAnsi="Times New Roman" w:cs="Times New Roman"/>
          <w:sz w:val="20"/>
          <w:szCs w:val="20"/>
        </w:rPr>
        <w:t xml:space="preserve"> response of </w:t>
      </w:r>
      <w:r w:rsidR="0025659E" w:rsidRPr="00301C5C">
        <w:rPr>
          <w:rFonts w:ascii="Times New Roman" w:hAnsi="Times New Roman" w:cs="Times New Roman"/>
          <w:i/>
          <w:sz w:val="20"/>
          <w:szCs w:val="20"/>
        </w:rPr>
        <w:t>C</w:t>
      </w:r>
      <w:r w:rsidR="0025659E" w:rsidRPr="00301C5C">
        <w:rPr>
          <w:rFonts w:ascii="Times New Roman" w:hAnsi="Times New Roman" w:cs="Times New Roman"/>
          <w:sz w:val="20"/>
          <w:szCs w:val="20"/>
          <w:vertAlign w:val="subscript"/>
        </w:rPr>
        <w:t>i</w:t>
      </w:r>
      <w:r w:rsidR="0025659E" w:rsidRPr="00301C5C">
        <w:rPr>
          <w:rFonts w:ascii="Times New Roman" w:hAnsi="Times New Roman" w:cs="Times New Roman"/>
          <w:sz w:val="20"/>
          <w:szCs w:val="20"/>
        </w:rPr>
        <w:t xml:space="preserve"> (</w:t>
      </w:r>
      <w:r w:rsidR="0025659E" w:rsidRPr="00301C5C">
        <w:rPr>
          <w:rFonts w:ascii="Times New Roman" w:hAnsi="Times New Roman" w:cs="Times New Roman"/>
          <w:i/>
          <w:sz w:val="20"/>
          <w:szCs w:val="20"/>
        </w:rPr>
        <w:t>s</w:t>
      </w:r>
      <w:r w:rsidR="0025659E" w:rsidRPr="00301C5C">
        <w:rPr>
          <w:rFonts w:ascii="Times New Roman" w:hAnsi="Times New Roman" w:cs="Times New Roman"/>
          <w:sz w:val="20"/>
          <w:szCs w:val="20"/>
        </w:rPr>
        <w:t>) of Norway spruce trees during three time periods with different ambient CO</w:t>
      </w:r>
      <w:r w:rsidR="0025659E" w:rsidRPr="00301C5C">
        <w:rPr>
          <w:rFonts w:ascii="Times New Roman" w:hAnsi="Times New Roman" w:cs="Times New Roman"/>
          <w:sz w:val="20"/>
          <w:szCs w:val="20"/>
          <w:vertAlign w:val="subscript"/>
        </w:rPr>
        <w:t>2</w:t>
      </w:r>
      <w:r w:rsidR="0025659E" w:rsidRPr="00301C5C">
        <w:rPr>
          <w:rFonts w:ascii="Times New Roman" w:hAnsi="Times New Roman" w:cs="Times New Roman"/>
          <w:sz w:val="20"/>
          <w:szCs w:val="20"/>
        </w:rPr>
        <w:t xml:space="preserve"> ranges (</w:t>
      </w:r>
      <w:r w:rsidR="0025659E" w:rsidRPr="00301C5C">
        <w:rPr>
          <w:rFonts w:ascii="Times New Roman" w:hAnsi="Times New Roman" w:cs="Times New Roman"/>
          <w:i/>
          <w:sz w:val="20"/>
          <w:szCs w:val="20"/>
        </w:rPr>
        <w:t>C</w:t>
      </w:r>
      <w:r w:rsidR="0025659E" w:rsidRPr="00301C5C">
        <w:rPr>
          <w:rFonts w:ascii="Times New Roman" w:hAnsi="Times New Roman" w:cs="Times New Roman"/>
          <w:sz w:val="20"/>
          <w:szCs w:val="20"/>
          <w:vertAlign w:val="subscript"/>
        </w:rPr>
        <w:t>a</w:t>
      </w:r>
      <w:r w:rsidR="0025659E" w:rsidRPr="00301C5C">
        <w:rPr>
          <w:rFonts w:ascii="Times New Roman" w:hAnsi="Times New Roman" w:cs="Times New Roman"/>
          <w:sz w:val="20"/>
          <w:szCs w:val="20"/>
        </w:rPr>
        <w:t>)</w:t>
      </w:r>
      <w:r>
        <w:rPr>
          <w:rFonts w:ascii="Times New Roman" w:hAnsi="Times New Roman" w:cs="Times New Roman"/>
          <w:sz w:val="20"/>
          <w:szCs w:val="20"/>
        </w:rPr>
        <w:t xml:space="preserve">. </w:t>
      </w:r>
      <w:r w:rsidR="0025659E" w:rsidRPr="00301C5C">
        <w:rPr>
          <w:rFonts w:ascii="Times New Roman" w:hAnsi="Times New Roman" w:cs="Times New Roman"/>
          <w:sz w:val="20"/>
          <w:szCs w:val="20"/>
        </w:rPr>
        <w:t xml:space="preserve">Slopes </w:t>
      </w:r>
      <w:r w:rsidR="0025659E" w:rsidRPr="00301C5C">
        <w:rPr>
          <w:rFonts w:ascii="Times New Roman" w:hAnsi="Times New Roman" w:cs="Times New Roman"/>
          <w:i/>
          <w:sz w:val="20"/>
          <w:szCs w:val="20"/>
        </w:rPr>
        <w:t xml:space="preserve">l </w:t>
      </w:r>
      <w:r w:rsidR="0025659E" w:rsidRPr="00301C5C">
        <w:rPr>
          <w:rFonts w:ascii="Times New Roman" w:hAnsi="Times New Roman" w:cs="Times New Roman"/>
          <w:sz w:val="20"/>
          <w:szCs w:val="20"/>
        </w:rPr>
        <w:t xml:space="preserve">and </w:t>
      </w:r>
      <w:r w:rsidR="0025659E" w:rsidRPr="00301C5C">
        <w:rPr>
          <w:rFonts w:ascii="Times New Roman" w:hAnsi="Times New Roman" w:cs="Times New Roman"/>
          <w:i/>
          <w:sz w:val="20"/>
          <w:szCs w:val="20"/>
        </w:rPr>
        <w:t>s</w:t>
      </w:r>
      <w:r w:rsidR="0025659E" w:rsidRPr="00301C5C">
        <w:rPr>
          <w:rFonts w:ascii="Times New Roman" w:hAnsi="Times New Roman" w:cs="Times New Roman"/>
          <w:sz w:val="20"/>
          <w:szCs w:val="20"/>
        </w:rPr>
        <w:t xml:space="preserve"> are defined as </w:t>
      </w:r>
      <w:r w:rsidR="0025659E" w:rsidRPr="00301C5C">
        <w:rPr>
          <w:rFonts w:ascii="Times New Roman" w:hAnsi="Times New Roman" w:cs="Times New Roman"/>
          <w:i/>
          <w:sz w:val="20"/>
          <w:szCs w:val="20"/>
        </w:rPr>
        <w:t xml:space="preserve">l </w:t>
      </w:r>
      <w:r w:rsidR="0025659E" w:rsidRPr="00301C5C">
        <w:rPr>
          <w:rFonts w:ascii="Times New Roman" w:hAnsi="Times New Roman" w:cs="Times New Roman"/>
          <w:sz w:val="20"/>
          <w:szCs w:val="20"/>
        </w:rPr>
        <w:t>= dWUE</w:t>
      </w:r>
      <w:r w:rsidR="0025659E" w:rsidRPr="00301C5C">
        <w:rPr>
          <w:rFonts w:ascii="Times New Roman" w:hAnsi="Times New Roman" w:cs="Times New Roman"/>
          <w:sz w:val="20"/>
          <w:szCs w:val="20"/>
          <w:vertAlign w:val="subscript"/>
        </w:rPr>
        <w:t>i</w:t>
      </w:r>
      <w:r w:rsidR="0025659E" w:rsidRPr="00301C5C">
        <w:rPr>
          <w:rFonts w:ascii="Times New Roman" w:hAnsi="Times New Roman" w:cs="Times New Roman"/>
          <w:sz w:val="20"/>
          <w:szCs w:val="20"/>
        </w:rPr>
        <w:t>/d</w:t>
      </w:r>
      <w:r w:rsidR="0025659E" w:rsidRPr="00301C5C">
        <w:rPr>
          <w:rFonts w:ascii="Times New Roman" w:hAnsi="Times New Roman" w:cs="Times New Roman"/>
          <w:i/>
          <w:sz w:val="20"/>
          <w:szCs w:val="20"/>
        </w:rPr>
        <w:t>C</w:t>
      </w:r>
      <w:r w:rsidR="0025659E" w:rsidRPr="00301C5C">
        <w:rPr>
          <w:rFonts w:ascii="Times New Roman" w:hAnsi="Times New Roman" w:cs="Times New Roman"/>
          <w:sz w:val="20"/>
          <w:szCs w:val="20"/>
          <w:vertAlign w:val="subscript"/>
        </w:rPr>
        <w:t>a</w:t>
      </w:r>
      <w:r w:rsidR="0025659E" w:rsidRPr="00301C5C">
        <w:rPr>
          <w:rFonts w:ascii="Times New Roman" w:hAnsi="Times New Roman" w:cs="Times New Roman"/>
          <w:sz w:val="20"/>
          <w:szCs w:val="20"/>
        </w:rPr>
        <w:t xml:space="preserve">, </w:t>
      </w:r>
      <w:r w:rsidR="0025659E" w:rsidRPr="00301C5C">
        <w:rPr>
          <w:rFonts w:ascii="Times New Roman" w:hAnsi="Times New Roman" w:cs="Times New Roman"/>
          <w:i/>
          <w:sz w:val="20"/>
          <w:szCs w:val="20"/>
        </w:rPr>
        <w:t xml:space="preserve">s </w:t>
      </w:r>
      <w:r w:rsidR="0025659E" w:rsidRPr="00301C5C">
        <w:rPr>
          <w:rFonts w:ascii="Times New Roman" w:hAnsi="Times New Roman" w:cs="Times New Roman"/>
          <w:sz w:val="20"/>
          <w:szCs w:val="20"/>
        </w:rPr>
        <w:t xml:space="preserve">= </w:t>
      </w:r>
      <w:r w:rsidR="0025659E" w:rsidRPr="00301C5C">
        <w:rPr>
          <w:rFonts w:ascii="Times New Roman" w:hAnsi="Times New Roman" w:cs="Times New Roman"/>
          <w:i/>
          <w:sz w:val="20"/>
          <w:szCs w:val="20"/>
        </w:rPr>
        <w:t>dC</w:t>
      </w:r>
      <w:r w:rsidR="0025659E" w:rsidRPr="00301C5C">
        <w:rPr>
          <w:rFonts w:ascii="Times New Roman" w:hAnsi="Times New Roman" w:cs="Times New Roman"/>
          <w:sz w:val="20"/>
          <w:szCs w:val="20"/>
          <w:vertAlign w:val="subscript"/>
        </w:rPr>
        <w:t>i</w:t>
      </w:r>
      <w:r w:rsidR="0025659E" w:rsidRPr="00301C5C">
        <w:rPr>
          <w:rFonts w:ascii="Times New Roman" w:hAnsi="Times New Roman" w:cs="Times New Roman"/>
          <w:sz w:val="20"/>
          <w:szCs w:val="20"/>
        </w:rPr>
        <w:t>/d</w:t>
      </w:r>
      <w:r w:rsidR="0025659E" w:rsidRPr="00301C5C">
        <w:rPr>
          <w:rFonts w:ascii="Times New Roman" w:hAnsi="Times New Roman" w:cs="Times New Roman"/>
          <w:i/>
          <w:sz w:val="20"/>
          <w:szCs w:val="20"/>
        </w:rPr>
        <w:t>C</w:t>
      </w:r>
      <w:r w:rsidR="0025659E" w:rsidRPr="00301C5C">
        <w:rPr>
          <w:rFonts w:ascii="Times New Roman" w:hAnsi="Times New Roman" w:cs="Times New Roman"/>
          <w:sz w:val="20"/>
          <w:szCs w:val="20"/>
          <w:vertAlign w:val="subscript"/>
        </w:rPr>
        <w:t>a</w:t>
      </w:r>
      <w:r w:rsidR="0025659E" w:rsidRPr="00301C5C">
        <w:rPr>
          <w:rFonts w:ascii="Times New Roman" w:hAnsi="Times New Roman" w:cs="Times New Roman"/>
          <w:sz w:val="20"/>
          <w:szCs w:val="20"/>
        </w:rPr>
        <w:t>,</w:t>
      </w:r>
      <w:r w:rsidR="0025659E" w:rsidRPr="00301C5C">
        <w:rPr>
          <w:rFonts w:ascii="Times New Roman" w:hAnsi="Times New Roman" w:cs="Times New Roman"/>
          <w:i/>
          <w:sz w:val="20"/>
          <w:szCs w:val="20"/>
        </w:rPr>
        <w:t xml:space="preserve"> C</w:t>
      </w:r>
      <w:r w:rsidR="0025659E" w:rsidRPr="00301C5C">
        <w:rPr>
          <w:rFonts w:ascii="Times New Roman" w:hAnsi="Times New Roman" w:cs="Times New Roman"/>
          <w:sz w:val="20"/>
          <w:szCs w:val="20"/>
          <w:vertAlign w:val="subscript"/>
        </w:rPr>
        <w:t>a</w:t>
      </w:r>
      <w:r w:rsidR="0025659E" w:rsidRPr="00301C5C">
        <w:rPr>
          <w:rFonts w:ascii="Times New Roman" w:hAnsi="Times New Roman" w:cs="Times New Roman"/>
          <w:sz w:val="20"/>
          <w:szCs w:val="20"/>
        </w:rPr>
        <w:t xml:space="preserve"> is in μmol mol</w:t>
      </w:r>
      <w:r w:rsidR="0025659E" w:rsidRPr="00301C5C">
        <w:rPr>
          <w:rFonts w:ascii="Times New Roman" w:hAnsi="Times New Roman" w:cs="Times New Roman"/>
          <w:sz w:val="20"/>
          <w:szCs w:val="20"/>
          <w:vertAlign w:val="superscript"/>
        </w:rPr>
        <w:t>–1</w:t>
      </w:r>
      <w:r w:rsidR="0025659E" w:rsidRPr="00301C5C">
        <w:rPr>
          <w:rFonts w:ascii="Times New Roman" w:hAnsi="Times New Roman" w:cs="Times New Roman"/>
          <w:sz w:val="20"/>
          <w:szCs w:val="20"/>
        </w:rPr>
        <w:t>. Distinctly different patterns of the CO</w:t>
      </w:r>
      <w:r w:rsidR="0025659E" w:rsidRPr="00301C5C">
        <w:rPr>
          <w:rFonts w:ascii="Times New Roman" w:hAnsi="Times New Roman" w:cs="Times New Roman"/>
          <w:sz w:val="20"/>
          <w:szCs w:val="20"/>
          <w:vertAlign w:val="subscript"/>
        </w:rPr>
        <w:t>2</w:t>
      </w:r>
      <w:r w:rsidR="0025659E" w:rsidRPr="00301C5C">
        <w:rPr>
          <w:rFonts w:ascii="Times New Roman" w:hAnsi="Times New Roman" w:cs="Times New Roman"/>
          <w:sz w:val="20"/>
          <w:szCs w:val="20"/>
        </w:rPr>
        <w:t xml:space="preserve"> responses are denoted as Response Types (RT) 1 and 2. Both are subdivided into three groups according to the elevation of the growth sites. </w:t>
      </w:r>
      <w:r w:rsidR="0025659E" w:rsidRPr="00301C5C">
        <w:rPr>
          <w:rFonts w:ascii="Times New Roman" w:hAnsi="Times New Roman" w:cs="Times New Roman"/>
          <w:i/>
          <w:sz w:val="20"/>
          <w:szCs w:val="20"/>
        </w:rPr>
        <w:t>n</w:t>
      </w:r>
      <w:r w:rsidR="0025659E" w:rsidRPr="00301C5C">
        <w:rPr>
          <w:rFonts w:ascii="Times New Roman" w:hAnsi="Times New Roman" w:cs="Times New Roman"/>
          <w:sz w:val="20"/>
          <w:szCs w:val="20"/>
        </w:rPr>
        <w:t xml:space="preserve"> is the number of trees investigated in the given RT and elevation range. n.d. indicates categories with only one tree.</w:t>
      </w:r>
    </w:p>
    <w:p w14:paraId="744239E5" w14:textId="77777777" w:rsidR="0025659E" w:rsidRPr="00301C5C" w:rsidRDefault="0025659E" w:rsidP="00301C5C">
      <w:pPr>
        <w:spacing w:after="0" w:line="240" w:lineRule="auto"/>
        <w:contextualSpacing/>
        <w:jc w:val="both"/>
        <w:rPr>
          <w:rFonts w:ascii="Times New Roman" w:hAnsi="Times New Roman" w:cs="Times New Roman"/>
          <w:sz w:val="20"/>
          <w:szCs w:val="20"/>
        </w:rPr>
      </w:pPr>
    </w:p>
    <w:tbl>
      <w:tblPr>
        <w:tblW w:w="7728" w:type="dxa"/>
        <w:tblBorders>
          <w:top w:val="single" w:sz="8" w:space="0" w:color="auto"/>
          <w:bottom w:val="single" w:sz="8" w:space="0" w:color="auto"/>
          <w:insideH w:val="single" w:sz="8" w:space="0" w:color="auto"/>
        </w:tblBorders>
        <w:tblLook w:val="04A0" w:firstRow="1" w:lastRow="0" w:firstColumn="1" w:lastColumn="0" w:noHBand="0" w:noVBand="1"/>
      </w:tblPr>
      <w:tblGrid>
        <w:gridCol w:w="962"/>
        <w:gridCol w:w="1011"/>
        <w:gridCol w:w="959"/>
        <w:gridCol w:w="957"/>
        <w:gridCol w:w="957"/>
        <w:gridCol w:w="957"/>
        <w:gridCol w:w="957"/>
        <w:gridCol w:w="957"/>
        <w:gridCol w:w="11"/>
      </w:tblGrid>
      <w:tr w:rsidR="0025659E" w:rsidRPr="00301C5C" w14:paraId="0583D778" w14:textId="77777777" w:rsidTr="0039636C">
        <w:trPr>
          <w:trHeight w:val="300"/>
        </w:trPr>
        <w:tc>
          <w:tcPr>
            <w:tcW w:w="962" w:type="dxa"/>
            <w:vMerge w:val="restart"/>
            <w:shd w:val="clear" w:color="auto" w:fill="auto"/>
            <w:vAlign w:val="center"/>
            <w:hideMark/>
          </w:tcPr>
          <w:p w14:paraId="27163687"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  RT</w:t>
            </w:r>
          </w:p>
        </w:tc>
        <w:tc>
          <w:tcPr>
            <w:tcW w:w="1011" w:type="dxa"/>
            <w:vMerge w:val="restart"/>
            <w:shd w:val="clear" w:color="auto" w:fill="auto"/>
            <w:vAlign w:val="center"/>
            <w:hideMark/>
          </w:tcPr>
          <w:p w14:paraId="1A369F7A"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Altitude</w:t>
            </w:r>
          </w:p>
          <w:p w14:paraId="3C90DB45"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(m a.s.l.)       No of trees     No of samples</w:t>
            </w:r>
          </w:p>
        </w:tc>
        <w:tc>
          <w:tcPr>
            <w:tcW w:w="1916" w:type="dxa"/>
            <w:gridSpan w:val="2"/>
            <w:shd w:val="clear" w:color="auto" w:fill="auto"/>
            <w:vAlign w:val="center"/>
            <w:hideMark/>
          </w:tcPr>
          <w:p w14:paraId="1C38B8A4"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1919–1974</w:t>
            </w:r>
          </w:p>
        </w:tc>
        <w:tc>
          <w:tcPr>
            <w:tcW w:w="1914" w:type="dxa"/>
            <w:gridSpan w:val="2"/>
            <w:shd w:val="clear" w:color="auto" w:fill="auto"/>
            <w:vAlign w:val="center"/>
            <w:hideMark/>
          </w:tcPr>
          <w:p w14:paraId="4710257F"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1975–1994</w:t>
            </w:r>
          </w:p>
        </w:tc>
        <w:tc>
          <w:tcPr>
            <w:tcW w:w="1925" w:type="dxa"/>
            <w:gridSpan w:val="3"/>
            <w:shd w:val="clear" w:color="auto" w:fill="auto"/>
            <w:vAlign w:val="center"/>
            <w:hideMark/>
          </w:tcPr>
          <w:p w14:paraId="517B62A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1995–2014</w:t>
            </w:r>
          </w:p>
        </w:tc>
      </w:tr>
      <w:tr w:rsidR="0025659E" w:rsidRPr="00301C5C" w14:paraId="66782EB6" w14:textId="77777777" w:rsidTr="0039636C">
        <w:trPr>
          <w:trHeight w:val="315"/>
        </w:trPr>
        <w:tc>
          <w:tcPr>
            <w:tcW w:w="962" w:type="dxa"/>
            <w:vMerge/>
            <w:vAlign w:val="center"/>
            <w:hideMark/>
          </w:tcPr>
          <w:p w14:paraId="2DEDB850"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1011" w:type="dxa"/>
            <w:vMerge/>
            <w:vAlign w:val="center"/>
            <w:hideMark/>
          </w:tcPr>
          <w:p w14:paraId="13C4A4D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1916" w:type="dxa"/>
            <w:gridSpan w:val="2"/>
            <w:shd w:val="clear" w:color="auto" w:fill="auto"/>
            <w:vAlign w:val="center"/>
            <w:hideMark/>
          </w:tcPr>
          <w:p w14:paraId="79F576EB"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C</w:t>
            </w:r>
            <w:r w:rsidRPr="00301C5C">
              <w:rPr>
                <w:rFonts w:ascii="Times New Roman" w:eastAsia="Times New Roman" w:hAnsi="Times New Roman" w:cs="Times New Roman"/>
                <w:color w:val="000000"/>
                <w:sz w:val="20"/>
                <w:szCs w:val="20"/>
                <w:vertAlign w:val="subscript"/>
              </w:rPr>
              <w:t>a</w:t>
            </w:r>
            <w:r w:rsidRPr="00301C5C">
              <w:rPr>
                <w:rFonts w:ascii="Times New Roman" w:eastAsia="Times New Roman" w:hAnsi="Times New Roman" w:cs="Times New Roman"/>
                <w:i/>
                <w:iCs/>
                <w:color w:val="000000"/>
                <w:sz w:val="20"/>
                <w:szCs w:val="20"/>
              </w:rPr>
              <w:t xml:space="preserve"> </w:t>
            </w:r>
            <w:r w:rsidRPr="00301C5C">
              <w:rPr>
                <w:rFonts w:ascii="Times New Roman" w:eastAsia="Times New Roman" w:hAnsi="Times New Roman" w:cs="Times New Roman"/>
                <w:color w:val="000000"/>
                <w:sz w:val="20"/>
                <w:szCs w:val="20"/>
              </w:rPr>
              <w:t>305–330</w:t>
            </w:r>
          </w:p>
        </w:tc>
        <w:tc>
          <w:tcPr>
            <w:tcW w:w="1914" w:type="dxa"/>
            <w:gridSpan w:val="2"/>
            <w:shd w:val="clear" w:color="auto" w:fill="auto"/>
            <w:vAlign w:val="center"/>
            <w:hideMark/>
          </w:tcPr>
          <w:p w14:paraId="58DFFDE5"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C</w:t>
            </w:r>
            <w:r w:rsidRPr="00301C5C">
              <w:rPr>
                <w:rFonts w:ascii="Times New Roman" w:eastAsia="Times New Roman" w:hAnsi="Times New Roman" w:cs="Times New Roman"/>
                <w:color w:val="000000"/>
                <w:sz w:val="20"/>
                <w:szCs w:val="20"/>
                <w:vertAlign w:val="subscript"/>
              </w:rPr>
              <w:t>a</w:t>
            </w:r>
            <w:r w:rsidRPr="00301C5C">
              <w:rPr>
                <w:rFonts w:ascii="Times New Roman" w:eastAsia="Times New Roman" w:hAnsi="Times New Roman" w:cs="Times New Roman"/>
                <w:i/>
                <w:iCs/>
                <w:color w:val="000000"/>
                <w:sz w:val="20"/>
                <w:szCs w:val="20"/>
              </w:rPr>
              <w:t xml:space="preserve"> </w:t>
            </w:r>
            <w:r w:rsidRPr="00301C5C">
              <w:rPr>
                <w:rFonts w:ascii="Times New Roman" w:eastAsia="Times New Roman" w:hAnsi="Times New Roman" w:cs="Times New Roman"/>
                <w:color w:val="000000"/>
                <w:sz w:val="20"/>
                <w:szCs w:val="20"/>
              </w:rPr>
              <w:t>331–359</w:t>
            </w:r>
          </w:p>
        </w:tc>
        <w:tc>
          <w:tcPr>
            <w:tcW w:w="1925" w:type="dxa"/>
            <w:gridSpan w:val="3"/>
            <w:shd w:val="clear" w:color="auto" w:fill="auto"/>
            <w:vAlign w:val="center"/>
            <w:hideMark/>
          </w:tcPr>
          <w:p w14:paraId="241C2305"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C</w:t>
            </w:r>
            <w:r w:rsidRPr="00301C5C">
              <w:rPr>
                <w:rFonts w:ascii="Times New Roman" w:eastAsia="Times New Roman" w:hAnsi="Times New Roman" w:cs="Times New Roman"/>
                <w:color w:val="000000"/>
                <w:sz w:val="20"/>
                <w:szCs w:val="20"/>
                <w:vertAlign w:val="subscript"/>
              </w:rPr>
              <w:t>a</w:t>
            </w:r>
            <w:r w:rsidRPr="00301C5C">
              <w:rPr>
                <w:rFonts w:ascii="Times New Roman" w:eastAsia="Times New Roman" w:hAnsi="Times New Roman" w:cs="Times New Roman"/>
                <w:i/>
                <w:iCs/>
                <w:color w:val="000000"/>
                <w:sz w:val="20"/>
                <w:szCs w:val="20"/>
              </w:rPr>
              <w:t xml:space="preserve"> </w:t>
            </w:r>
            <w:r w:rsidRPr="00301C5C">
              <w:rPr>
                <w:rFonts w:ascii="Times New Roman" w:eastAsia="Times New Roman" w:hAnsi="Times New Roman" w:cs="Times New Roman"/>
                <w:color w:val="000000"/>
                <w:sz w:val="20"/>
                <w:szCs w:val="20"/>
              </w:rPr>
              <w:t>361–402</w:t>
            </w:r>
          </w:p>
        </w:tc>
      </w:tr>
      <w:tr w:rsidR="0025659E" w:rsidRPr="00301C5C" w14:paraId="46B55025" w14:textId="77777777" w:rsidTr="0039636C">
        <w:trPr>
          <w:trHeight w:val="315"/>
        </w:trPr>
        <w:tc>
          <w:tcPr>
            <w:tcW w:w="962" w:type="dxa"/>
            <w:vMerge/>
            <w:vAlign w:val="center"/>
            <w:hideMark/>
          </w:tcPr>
          <w:p w14:paraId="2BA4E94A"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1011" w:type="dxa"/>
            <w:vMerge/>
            <w:vAlign w:val="center"/>
            <w:hideMark/>
          </w:tcPr>
          <w:p w14:paraId="7096884F"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959" w:type="dxa"/>
            <w:shd w:val="clear" w:color="auto" w:fill="auto"/>
            <w:vAlign w:val="center"/>
            <w:hideMark/>
          </w:tcPr>
          <w:p w14:paraId="59F82307"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l</w:t>
            </w:r>
          </w:p>
        </w:tc>
        <w:tc>
          <w:tcPr>
            <w:tcW w:w="957" w:type="dxa"/>
            <w:shd w:val="clear" w:color="auto" w:fill="auto"/>
            <w:vAlign w:val="center"/>
            <w:hideMark/>
          </w:tcPr>
          <w:p w14:paraId="1F64A5C7"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s</w:t>
            </w:r>
          </w:p>
        </w:tc>
        <w:tc>
          <w:tcPr>
            <w:tcW w:w="957" w:type="dxa"/>
            <w:shd w:val="clear" w:color="auto" w:fill="auto"/>
            <w:vAlign w:val="center"/>
            <w:hideMark/>
          </w:tcPr>
          <w:p w14:paraId="73387BC9"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l</w:t>
            </w:r>
          </w:p>
        </w:tc>
        <w:tc>
          <w:tcPr>
            <w:tcW w:w="957" w:type="dxa"/>
            <w:shd w:val="clear" w:color="auto" w:fill="auto"/>
            <w:vAlign w:val="center"/>
            <w:hideMark/>
          </w:tcPr>
          <w:p w14:paraId="58F1CC92"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s</w:t>
            </w:r>
          </w:p>
        </w:tc>
        <w:tc>
          <w:tcPr>
            <w:tcW w:w="957" w:type="dxa"/>
            <w:shd w:val="clear" w:color="auto" w:fill="auto"/>
            <w:vAlign w:val="center"/>
            <w:hideMark/>
          </w:tcPr>
          <w:p w14:paraId="4F41F54C"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l</w:t>
            </w:r>
          </w:p>
        </w:tc>
        <w:tc>
          <w:tcPr>
            <w:tcW w:w="968" w:type="dxa"/>
            <w:gridSpan w:val="2"/>
            <w:shd w:val="clear" w:color="auto" w:fill="auto"/>
            <w:vAlign w:val="center"/>
            <w:hideMark/>
          </w:tcPr>
          <w:p w14:paraId="306C52E8" w14:textId="77777777" w:rsidR="0025659E" w:rsidRPr="00301C5C" w:rsidRDefault="0025659E" w:rsidP="00301C5C">
            <w:pPr>
              <w:spacing w:after="0" w:line="240" w:lineRule="auto"/>
              <w:contextualSpacing/>
              <w:jc w:val="both"/>
              <w:rPr>
                <w:rFonts w:ascii="Times New Roman" w:eastAsia="Times New Roman" w:hAnsi="Times New Roman" w:cs="Times New Roman"/>
                <w:i/>
                <w:iCs/>
                <w:color w:val="000000"/>
                <w:sz w:val="20"/>
                <w:szCs w:val="20"/>
              </w:rPr>
            </w:pPr>
            <w:r w:rsidRPr="00301C5C">
              <w:rPr>
                <w:rFonts w:ascii="Times New Roman" w:eastAsia="Times New Roman" w:hAnsi="Times New Roman" w:cs="Times New Roman"/>
                <w:i/>
                <w:iCs/>
                <w:color w:val="000000"/>
                <w:sz w:val="20"/>
                <w:szCs w:val="20"/>
              </w:rPr>
              <w:t>s</w:t>
            </w:r>
          </w:p>
        </w:tc>
      </w:tr>
      <w:tr w:rsidR="0025659E" w:rsidRPr="00301C5C" w14:paraId="69DD3EA6" w14:textId="77777777" w:rsidTr="0039636C">
        <w:trPr>
          <w:trHeight w:val="915"/>
        </w:trPr>
        <w:tc>
          <w:tcPr>
            <w:tcW w:w="962" w:type="dxa"/>
            <w:vMerge w:val="restart"/>
            <w:shd w:val="clear" w:color="auto" w:fill="auto"/>
            <w:vAlign w:val="center"/>
            <w:hideMark/>
          </w:tcPr>
          <w:p w14:paraId="34D06852"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1 </w:t>
            </w:r>
          </w:p>
          <w:p w14:paraId="3A3ED334"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w:t>
            </w:r>
            <w:r w:rsidRPr="00301C5C">
              <w:rPr>
                <w:rFonts w:ascii="Times New Roman" w:eastAsia="Times New Roman" w:hAnsi="Times New Roman" w:cs="Times New Roman"/>
                <w:i/>
                <w:iCs/>
                <w:color w:val="000000"/>
                <w:sz w:val="20"/>
                <w:szCs w:val="20"/>
              </w:rPr>
              <w:t xml:space="preserve">n </w:t>
            </w:r>
            <w:r w:rsidRPr="00301C5C">
              <w:rPr>
                <w:rFonts w:ascii="Times New Roman" w:eastAsia="Times New Roman" w:hAnsi="Times New Roman" w:cs="Times New Roman"/>
                <w:color w:val="000000"/>
                <w:sz w:val="20"/>
                <w:szCs w:val="20"/>
              </w:rPr>
              <w:t>= 22)</w:t>
            </w:r>
          </w:p>
          <w:p w14:paraId="17393B5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w:t>
            </w:r>
          </w:p>
          <w:p w14:paraId="09A592EE"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w:t>
            </w:r>
          </w:p>
        </w:tc>
        <w:tc>
          <w:tcPr>
            <w:tcW w:w="1011" w:type="dxa"/>
            <w:shd w:val="clear" w:color="auto" w:fill="auto"/>
            <w:vAlign w:val="center"/>
            <w:hideMark/>
          </w:tcPr>
          <w:p w14:paraId="30027BA5"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&gt;700         </w:t>
            </w:r>
            <w:r w:rsidRPr="00301C5C">
              <w:rPr>
                <w:rFonts w:ascii="Times New Roman" w:eastAsia="Times New Roman" w:hAnsi="Times New Roman" w:cs="Times New Roman"/>
                <w:i/>
                <w:color w:val="000000"/>
                <w:sz w:val="20"/>
                <w:szCs w:val="20"/>
              </w:rPr>
              <w:t xml:space="preserve">n </w:t>
            </w:r>
            <w:r w:rsidRPr="00301C5C">
              <w:rPr>
                <w:rFonts w:ascii="Times New Roman" w:eastAsia="Times New Roman" w:hAnsi="Times New Roman" w:cs="Times New Roman"/>
                <w:color w:val="000000"/>
                <w:sz w:val="20"/>
                <w:szCs w:val="20"/>
              </w:rPr>
              <w:t>= 3-6       169</w:t>
            </w:r>
          </w:p>
        </w:tc>
        <w:tc>
          <w:tcPr>
            <w:tcW w:w="959" w:type="dxa"/>
            <w:shd w:val="clear" w:color="auto" w:fill="auto"/>
            <w:vAlign w:val="center"/>
            <w:hideMark/>
          </w:tcPr>
          <w:p w14:paraId="6A4E31D8"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0.352</w:t>
            </w:r>
          </w:p>
        </w:tc>
        <w:tc>
          <w:tcPr>
            <w:tcW w:w="957" w:type="dxa"/>
            <w:shd w:val="clear" w:color="auto" w:fill="auto"/>
            <w:vAlign w:val="center"/>
            <w:hideMark/>
          </w:tcPr>
          <w:p w14:paraId="54DB218E"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0.437</w:t>
            </w:r>
          </w:p>
        </w:tc>
        <w:tc>
          <w:tcPr>
            <w:tcW w:w="957" w:type="dxa"/>
            <w:shd w:val="clear" w:color="auto" w:fill="auto"/>
            <w:vAlign w:val="center"/>
            <w:hideMark/>
          </w:tcPr>
          <w:p w14:paraId="75A3289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0.368</w:t>
            </w:r>
          </w:p>
        </w:tc>
        <w:tc>
          <w:tcPr>
            <w:tcW w:w="957" w:type="dxa"/>
            <w:shd w:val="clear" w:color="auto" w:fill="auto"/>
            <w:vAlign w:val="center"/>
            <w:hideMark/>
          </w:tcPr>
          <w:p w14:paraId="0F59FBAF"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0.411</w:t>
            </w:r>
          </w:p>
        </w:tc>
        <w:tc>
          <w:tcPr>
            <w:tcW w:w="957" w:type="dxa"/>
            <w:shd w:val="clear" w:color="auto" w:fill="auto"/>
            <w:vAlign w:val="center"/>
            <w:hideMark/>
          </w:tcPr>
          <w:p w14:paraId="0A192AB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0.338</w:t>
            </w:r>
          </w:p>
        </w:tc>
        <w:tc>
          <w:tcPr>
            <w:tcW w:w="968" w:type="dxa"/>
            <w:gridSpan w:val="2"/>
            <w:shd w:val="clear" w:color="auto" w:fill="auto"/>
            <w:vAlign w:val="center"/>
            <w:hideMark/>
          </w:tcPr>
          <w:p w14:paraId="0289570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0.459</w:t>
            </w:r>
          </w:p>
        </w:tc>
      </w:tr>
      <w:tr w:rsidR="0025659E" w:rsidRPr="00301C5C" w14:paraId="7E7C640C" w14:textId="77777777" w:rsidTr="0039636C">
        <w:trPr>
          <w:trHeight w:val="915"/>
        </w:trPr>
        <w:tc>
          <w:tcPr>
            <w:tcW w:w="962" w:type="dxa"/>
            <w:vMerge/>
            <w:shd w:val="clear" w:color="auto" w:fill="auto"/>
            <w:vAlign w:val="center"/>
            <w:hideMark/>
          </w:tcPr>
          <w:p w14:paraId="67B95799"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1011" w:type="dxa"/>
            <w:shd w:val="clear" w:color="auto" w:fill="auto"/>
            <w:vAlign w:val="center"/>
            <w:hideMark/>
          </w:tcPr>
          <w:p w14:paraId="4C626BA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400-700    </w:t>
            </w:r>
            <w:r w:rsidRPr="00301C5C">
              <w:rPr>
                <w:rFonts w:ascii="Times New Roman" w:eastAsia="Times New Roman" w:hAnsi="Times New Roman" w:cs="Times New Roman"/>
                <w:i/>
                <w:color w:val="000000"/>
                <w:sz w:val="20"/>
                <w:szCs w:val="20"/>
              </w:rPr>
              <w:t xml:space="preserve">n </w:t>
            </w:r>
            <w:r w:rsidRPr="00301C5C">
              <w:rPr>
                <w:rFonts w:ascii="Times New Roman" w:eastAsia="Times New Roman" w:hAnsi="Times New Roman" w:cs="Times New Roman"/>
                <w:color w:val="000000"/>
                <w:sz w:val="20"/>
                <w:szCs w:val="20"/>
              </w:rPr>
              <w:t>= 9-14     965</w:t>
            </w:r>
          </w:p>
        </w:tc>
        <w:tc>
          <w:tcPr>
            <w:tcW w:w="959" w:type="dxa"/>
            <w:shd w:val="clear" w:color="auto" w:fill="auto"/>
            <w:vAlign w:val="center"/>
            <w:hideMark/>
          </w:tcPr>
          <w:p w14:paraId="76C82AFF"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0.566</w:t>
            </w:r>
          </w:p>
        </w:tc>
        <w:tc>
          <w:tcPr>
            <w:tcW w:w="957" w:type="dxa"/>
            <w:shd w:val="clear" w:color="auto" w:fill="auto"/>
            <w:vAlign w:val="center"/>
            <w:hideMark/>
          </w:tcPr>
          <w:p w14:paraId="78267038"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0.163</w:t>
            </w:r>
          </w:p>
        </w:tc>
        <w:tc>
          <w:tcPr>
            <w:tcW w:w="957" w:type="dxa"/>
            <w:shd w:val="clear" w:color="auto" w:fill="auto"/>
            <w:vAlign w:val="center"/>
            <w:hideMark/>
          </w:tcPr>
          <w:p w14:paraId="75AC10A6"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0.688</w:t>
            </w:r>
          </w:p>
        </w:tc>
        <w:tc>
          <w:tcPr>
            <w:tcW w:w="957" w:type="dxa"/>
            <w:shd w:val="clear" w:color="auto" w:fill="auto"/>
            <w:vAlign w:val="center"/>
            <w:hideMark/>
          </w:tcPr>
          <w:p w14:paraId="65079754"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–0.101</w:t>
            </w:r>
          </w:p>
        </w:tc>
        <w:tc>
          <w:tcPr>
            <w:tcW w:w="957" w:type="dxa"/>
            <w:shd w:val="clear" w:color="auto" w:fill="auto"/>
            <w:vAlign w:val="center"/>
            <w:hideMark/>
          </w:tcPr>
          <w:p w14:paraId="6F45686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0.234</w:t>
            </w:r>
          </w:p>
        </w:tc>
        <w:tc>
          <w:tcPr>
            <w:tcW w:w="968" w:type="dxa"/>
            <w:gridSpan w:val="2"/>
            <w:shd w:val="clear" w:color="auto" w:fill="auto"/>
            <w:vAlign w:val="center"/>
            <w:hideMark/>
          </w:tcPr>
          <w:p w14:paraId="54C4018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0.626</w:t>
            </w:r>
          </w:p>
        </w:tc>
      </w:tr>
      <w:tr w:rsidR="0025659E" w:rsidRPr="00301C5C" w14:paraId="1794644B" w14:textId="77777777" w:rsidTr="0039636C">
        <w:trPr>
          <w:trHeight w:val="915"/>
        </w:trPr>
        <w:tc>
          <w:tcPr>
            <w:tcW w:w="962" w:type="dxa"/>
            <w:vMerge/>
            <w:shd w:val="clear" w:color="auto" w:fill="auto"/>
            <w:vAlign w:val="center"/>
            <w:hideMark/>
          </w:tcPr>
          <w:p w14:paraId="05171ACC"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1011" w:type="dxa"/>
            <w:shd w:val="clear" w:color="auto" w:fill="auto"/>
            <w:vAlign w:val="center"/>
            <w:hideMark/>
          </w:tcPr>
          <w:p w14:paraId="626BB017"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&lt;400         </w:t>
            </w:r>
            <w:r w:rsidRPr="00301C5C">
              <w:rPr>
                <w:rFonts w:ascii="Times New Roman" w:eastAsia="Times New Roman" w:hAnsi="Times New Roman" w:cs="Times New Roman"/>
                <w:i/>
                <w:color w:val="000000"/>
                <w:sz w:val="20"/>
                <w:szCs w:val="20"/>
              </w:rPr>
              <w:t xml:space="preserve">n </w:t>
            </w:r>
            <w:r w:rsidRPr="00301C5C">
              <w:rPr>
                <w:rFonts w:ascii="Times New Roman" w:eastAsia="Times New Roman" w:hAnsi="Times New Roman" w:cs="Times New Roman"/>
                <w:color w:val="000000"/>
                <w:sz w:val="20"/>
                <w:szCs w:val="20"/>
              </w:rPr>
              <w:t>= 1-2              103</w:t>
            </w:r>
          </w:p>
        </w:tc>
        <w:tc>
          <w:tcPr>
            <w:tcW w:w="959" w:type="dxa"/>
            <w:shd w:val="clear" w:color="auto" w:fill="auto"/>
            <w:vAlign w:val="center"/>
          </w:tcPr>
          <w:p w14:paraId="584F5418"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n.d.</w:t>
            </w:r>
          </w:p>
        </w:tc>
        <w:tc>
          <w:tcPr>
            <w:tcW w:w="957" w:type="dxa"/>
            <w:shd w:val="clear" w:color="auto" w:fill="auto"/>
            <w:vAlign w:val="center"/>
          </w:tcPr>
          <w:p w14:paraId="765A1294"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n.d.</w:t>
            </w:r>
          </w:p>
        </w:tc>
        <w:tc>
          <w:tcPr>
            <w:tcW w:w="957" w:type="dxa"/>
            <w:shd w:val="clear" w:color="auto" w:fill="auto"/>
            <w:vAlign w:val="center"/>
            <w:hideMark/>
          </w:tcPr>
          <w:p w14:paraId="7887AD40"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0.343</w:t>
            </w:r>
          </w:p>
        </w:tc>
        <w:tc>
          <w:tcPr>
            <w:tcW w:w="957" w:type="dxa"/>
            <w:shd w:val="clear" w:color="auto" w:fill="auto"/>
            <w:vAlign w:val="center"/>
            <w:hideMark/>
          </w:tcPr>
          <w:p w14:paraId="080E694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0.452</w:t>
            </w:r>
          </w:p>
        </w:tc>
        <w:tc>
          <w:tcPr>
            <w:tcW w:w="957" w:type="dxa"/>
            <w:shd w:val="clear" w:color="auto" w:fill="auto"/>
            <w:vAlign w:val="center"/>
            <w:hideMark/>
          </w:tcPr>
          <w:p w14:paraId="2BE8F04E"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0.373</w:t>
            </w:r>
          </w:p>
        </w:tc>
        <w:tc>
          <w:tcPr>
            <w:tcW w:w="968" w:type="dxa"/>
            <w:gridSpan w:val="2"/>
            <w:shd w:val="clear" w:color="auto" w:fill="auto"/>
            <w:vAlign w:val="center"/>
            <w:hideMark/>
          </w:tcPr>
          <w:p w14:paraId="2257A652"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0.403</w:t>
            </w:r>
          </w:p>
        </w:tc>
      </w:tr>
      <w:tr w:rsidR="0025659E" w:rsidRPr="00301C5C" w14:paraId="11AA2A8A" w14:textId="77777777" w:rsidTr="0039636C">
        <w:trPr>
          <w:trHeight w:val="799"/>
        </w:trPr>
        <w:tc>
          <w:tcPr>
            <w:tcW w:w="1973" w:type="dxa"/>
            <w:gridSpan w:val="2"/>
            <w:shd w:val="clear" w:color="auto" w:fill="auto"/>
            <w:vAlign w:val="center"/>
            <w:hideMark/>
          </w:tcPr>
          <w:p w14:paraId="32D8562E"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mean (slope of regression line through annual averages)</w:t>
            </w:r>
          </w:p>
        </w:tc>
        <w:tc>
          <w:tcPr>
            <w:tcW w:w="959" w:type="dxa"/>
            <w:shd w:val="clear" w:color="auto" w:fill="auto"/>
            <w:vAlign w:val="center"/>
            <w:hideMark/>
          </w:tcPr>
          <w:p w14:paraId="306F00BF"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0.427</w:t>
            </w:r>
          </w:p>
        </w:tc>
        <w:tc>
          <w:tcPr>
            <w:tcW w:w="957" w:type="dxa"/>
            <w:shd w:val="clear" w:color="auto" w:fill="auto"/>
            <w:vAlign w:val="center"/>
            <w:hideMark/>
          </w:tcPr>
          <w:p w14:paraId="2D7C77A7"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0.317</w:t>
            </w:r>
          </w:p>
        </w:tc>
        <w:tc>
          <w:tcPr>
            <w:tcW w:w="957" w:type="dxa"/>
            <w:shd w:val="clear" w:color="auto" w:fill="auto"/>
            <w:vAlign w:val="center"/>
            <w:hideMark/>
          </w:tcPr>
          <w:p w14:paraId="1B071A76"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0.574</w:t>
            </w:r>
          </w:p>
        </w:tc>
        <w:tc>
          <w:tcPr>
            <w:tcW w:w="957" w:type="dxa"/>
            <w:shd w:val="clear" w:color="auto" w:fill="auto"/>
            <w:vAlign w:val="center"/>
            <w:hideMark/>
          </w:tcPr>
          <w:p w14:paraId="7A8EDDB5"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0.144</w:t>
            </w:r>
          </w:p>
        </w:tc>
        <w:tc>
          <w:tcPr>
            <w:tcW w:w="957" w:type="dxa"/>
            <w:shd w:val="clear" w:color="auto" w:fill="auto"/>
            <w:vAlign w:val="center"/>
            <w:hideMark/>
          </w:tcPr>
          <w:p w14:paraId="55DC5579"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0.295</w:t>
            </w:r>
          </w:p>
        </w:tc>
        <w:tc>
          <w:tcPr>
            <w:tcW w:w="968" w:type="dxa"/>
            <w:gridSpan w:val="2"/>
            <w:shd w:val="clear" w:color="auto" w:fill="auto"/>
            <w:vAlign w:val="center"/>
            <w:hideMark/>
          </w:tcPr>
          <w:p w14:paraId="00C7F261"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0.504</w:t>
            </w:r>
          </w:p>
        </w:tc>
      </w:tr>
      <w:tr w:rsidR="0025659E" w:rsidRPr="00301C5C" w14:paraId="027AE74D" w14:textId="77777777" w:rsidTr="0039636C">
        <w:trPr>
          <w:gridAfter w:val="1"/>
          <w:wAfter w:w="11" w:type="dxa"/>
          <w:trHeight w:val="915"/>
        </w:trPr>
        <w:tc>
          <w:tcPr>
            <w:tcW w:w="962" w:type="dxa"/>
            <w:vMerge w:val="restart"/>
            <w:shd w:val="clear" w:color="auto" w:fill="auto"/>
            <w:vAlign w:val="center"/>
            <w:hideMark/>
          </w:tcPr>
          <w:p w14:paraId="482EA58F"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2 </w:t>
            </w:r>
          </w:p>
          <w:p w14:paraId="4092317C"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w:t>
            </w:r>
            <w:r w:rsidRPr="00301C5C">
              <w:rPr>
                <w:rFonts w:ascii="Times New Roman" w:eastAsia="Times New Roman" w:hAnsi="Times New Roman" w:cs="Times New Roman"/>
                <w:i/>
                <w:iCs/>
                <w:color w:val="000000"/>
                <w:sz w:val="20"/>
                <w:szCs w:val="20"/>
              </w:rPr>
              <w:t xml:space="preserve">n </w:t>
            </w:r>
            <w:r w:rsidRPr="00301C5C">
              <w:rPr>
                <w:rFonts w:ascii="Times New Roman" w:eastAsia="Times New Roman" w:hAnsi="Times New Roman" w:cs="Times New Roman"/>
                <w:color w:val="000000"/>
                <w:sz w:val="20"/>
                <w:szCs w:val="20"/>
              </w:rPr>
              <w:t>= 35)</w:t>
            </w:r>
          </w:p>
          <w:p w14:paraId="43812BA0"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w:t>
            </w:r>
          </w:p>
          <w:p w14:paraId="4D73813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w:t>
            </w:r>
          </w:p>
        </w:tc>
        <w:tc>
          <w:tcPr>
            <w:tcW w:w="1011" w:type="dxa"/>
            <w:shd w:val="clear" w:color="auto" w:fill="auto"/>
            <w:vAlign w:val="center"/>
            <w:hideMark/>
          </w:tcPr>
          <w:p w14:paraId="633066D4"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&gt;700          </w:t>
            </w:r>
            <w:r w:rsidRPr="00301C5C">
              <w:rPr>
                <w:rFonts w:ascii="Times New Roman" w:eastAsia="Times New Roman" w:hAnsi="Times New Roman" w:cs="Times New Roman"/>
                <w:i/>
                <w:color w:val="000000"/>
                <w:sz w:val="20"/>
                <w:szCs w:val="20"/>
              </w:rPr>
              <w:t xml:space="preserve">n </w:t>
            </w:r>
            <w:r w:rsidRPr="00301C5C">
              <w:rPr>
                <w:rFonts w:ascii="Times New Roman" w:eastAsia="Times New Roman" w:hAnsi="Times New Roman" w:cs="Times New Roman"/>
                <w:color w:val="000000"/>
                <w:sz w:val="20"/>
                <w:szCs w:val="20"/>
              </w:rPr>
              <w:t>= 9–12        209</w:t>
            </w:r>
          </w:p>
        </w:tc>
        <w:tc>
          <w:tcPr>
            <w:tcW w:w="959" w:type="dxa"/>
            <w:shd w:val="clear" w:color="auto" w:fill="auto"/>
            <w:vAlign w:val="center"/>
            <w:hideMark/>
          </w:tcPr>
          <w:p w14:paraId="52E5C308"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1.282</w:t>
            </w:r>
          </w:p>
        </w:tc>
        <w:tc>
          <w:tcPr>
            <w:tcW w:w="957" w:type="dxa"/>
            <w:shd w:val="clear" w:color="auto" w:fill="auto"/>
            <w:vAlign w:val="center"/>
            <w:hideMark/>
          </w:tcPr>
          <w:p w14:paraId="5377F8F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–1.052</w:t>
            </w:r>
          </w:p>
        </w:tc>
        <w:tc>
          <w:tcPr>
            <w:tcW w:w="957" w:type="dxa"/>
            <w:shd w:val="clear" w:color="auto" w:fill="auto"/>
            <w:vAlign w:val="center"/>
            <w:hideMark/>
          </w:tcPr>
          <w:p w14:paraId="3C966376"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0.410</w:t>
            </w:r>
          </w:p>
        </w:tc>
        <w:tc>
          <w:tcPr>
            <w:tcW w:w="957" w:type="dxa"/>
            <w:shd w:val="clear" w:color="auto" w:fill="auto"/>
            <w:vAlign w:val="center"/>
            <w:hideMark/>
          </w:tcPr>
          <w:p w14:paraId="70726FE5"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0.344</w:t>
            </w:r>
          </w:p>
        </w:tc>
        <w:tc>
          <w:tcPr>
            <w:tcW w:w="957" w:type="dxa"/>
            <w:shd w:val="clear" w:color="auto" w:fill="auto"/>
            <w:vAlign w:val="center"/>
            <w:hideMark/>
          </w:tcPr>
          <w:p w14:paraId="713B8FB6"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0.070</w:t>
            </w:r>
          </w:p>
        </w:tc>
        <w:tc>
          <w:tcPr>
            <w:tcW w:w="957" w:type="dxa"/>
            <w:shd w:val="clear" w:color="auto" w:fill="auto"/>
            <w:vAlign w:val="center"/>
            <w:hideMark/>
          </w:tcPr>
          <w:p w14:paraId="15052C2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0.888</w:t>
            </w:r>
          </w:p>
        </w:tc>
      </w:tr>
      <w:tr w:rsidR="0025659E" w:rsidRPr="00301C5C" w14:paraId="645CD6BE" w14:textId="77777777" w:rsidTr="0039636C">
        <w:trPr>
          <w:gridAfter w:val="1"/>
          <w:wAfter w:w="11" w:type="dxa"/>
          <w:trHeight w:val="915"/>
        </w:trPr>
        <w:tc>
          <w:tcPr>
            <w:tcW w:w="962" w:type="dxa"/>
            <w:vMerge/>
            <w:shd w:val="clear" w:color="auto" w:fill="auto"/>
            <w:vAlign w:val="center"/>
            <w:hideMark/>
          </w:tcPr>
          <w:p w14:paraId="40082B5F"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1011" w:type="dxa"/>
            <w:shd w:val="clear" w:color="auto" w:fill="auto"/>
            <w:vAlign w:val="center"/>
            <w:hideMark/>
          </w:tcPr>
          <w:p w14:paraId="1474B069"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400-700    </w:t>
            </w:r>
            <w:r w:rsidRPr="00301C5C">
              <w:rPr>
                <w:rFonts w:ascii="Times New Roman" w:eastAsia="Times New Roman" w:hAnsi="Times New Roman" w:cs="Times New Roman"/>
                <w:i/>
                <w:color w:val="000000"/>
                <w:sz w:val="20"/>
                <w:szCs w:val="20"/>
              </w:rPr>
              <w:t xml:space="preserve">n </w:t>
            </w:r>
            <w:r w:rsidRPr="00301C5C">
              <w:rPr>
                <w:rFonts w:ascii="Times New Roman" w:eastAsia="Times New Roman" w:hAnsi="Times New Roman" w:cs="Times New Roman"/>
                <w:color w:val="000000"/>
                <w:sz w:val="20"/>
                <w:szCs w:val="20"/>
              </w:rPr>
              <w:t>= 16–18     914</w:t>
            </w:r>
          </w:p>
        </w:tc>
        <w:tc>
          <w:tcPr>
            <w:tcW w:w="959" w:type="dxa"/>
            <w:shd w:val="clear" w:color="auto" w:fill="auto"/>
            <w:vAlign w:val="center"/>
            <w:hideMark/>
          </w:tcPr>
          <w:p w14:paraId="5BA06EE7"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0.911</w:t>
            </w:r>
          </w:p>
        </w:tc>
        <w:tc>
          <w:tcPr>
            <w:tcW w:w="957" w:type="dxa"/>
            <w:shd w:val="clear" w:color="auto" w:fill="auto"/>
            <w:vAlign w:val="center"/>
            <w:hideMark/>
          </w:tcPr>
          <w:p w14:paraId="34CB8E0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–0.429</w:t>
            </w:r>
          </w:p>
        </w:tc>
        <w:tc>
          <w:tcPr>
            <w:tcW w:w="957" w:type="dxa"/>
            <w:shd w:val="clear" w:color="auto" w:fill="auto"/>
            <w:vAlign w:val="center"/>
            <w:hideMark/>
          </w:tcPr>
          <w:p w14:paraId="0015656A"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0.376</w:t>
            </w:r>
          </w:p>
        </w:tc>
        <w:tc>
          <w:tcPr>
            <w:tcW w:w="957" w:type="dxa"/>
            <w:shd w:val="clear" w:color="auto" w:fill="auto"/>
            <w:vAlign w:val="center"/>
            <w:hideMark/>
          </w:tcPr>
          <w:p w14:paraId="4FE03B12"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0.399</w:t>
            </w:r>
          </w:p>
        </w:tc>
        <w:tc>
          <w:tcPr>
            <w:tcW w:w="957" w:type="dxa"/>
            <w:shd w:val="clear" w:color="auto" w:fill="auto"/>
            <w:vAlign w:val="center"/>
            <w:hideMark/>
          </w:tcPr>
          <w:p w14:paraId="6846F7C8"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0.152</w:t>
            </w:r>
          </w:p>
        </w:tc>
        <w:tc>
          <w:tcPr>
            <w:tcW w:w="957" w:type="dxa"/>
            <w:shd w:val="clear" w:color="auto" w:fill="auto"/>
            <w:vAlign w:val="center"/>
            <w:hideMark/>
          </w:tcPr>
          <w:p w14:paraId="059C9DC2"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0.757</w:t>
            </w:r>
          </w:p>
        </w:tc>
      </w:tr>
      <w:tr w:rsidR="0025659E" w:rsidRPr="00301C5C" w14:paraId="395DBD27" w14:textId="77777777" w:rsidTr="0039636C">
        <w:trPr>
          <w:gridAfter w:val="1"/>
          <w:wAfter w:w="11" w:type="dxa"/>
          <w:trHeight w:val="915"/>
        </w:trPr>
        <w:tc>
          <w:tcPr>
            <w:tcW w:w="962" w:type="dxa"/>
            <w:vMerge/>
            <w:shd w:val="clear" w:color="auto" w:fill="auto"/>
            <w:vAlign w:val="center"/>
            <w:hideMark/>
          </w:tcPr>
          <w:p w14:paraId="58A72ADD"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p>
        </w:tc>
        <w:tc>
          <w:tcPr>
            <w:tcW w:w="1011" w:type="dxa"/>
            <w:shd w:val="clear" w:color="auto" w:fill="auto"/>
            <w:vAlign w:val="center"/>
            <w:hideMark/>
          </w:tcPr>
          <w:p w14:paraId="20243315"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 xml:space="preserve">&lt;400            </w:t>
            </w:r>
            <w:r w:rsidRPr="00301C5C">
              <w:rPr>
                <w:rFonts w:ascii="Times New Roman" w:eastAsia="Times New Roman" w:hAnsi="Times New Roman" w:cs="Times New Roman"/>
                <w:i/>
                <w:color w:val="000000"/>
                <w:sz w:val="20"/>
                <w:szCs w:val="20"/>
              </w:rPr>
              <w:t xml:space="preserve">n </w:t>
            </w:r>
            <w:r w:rsidRPr="00301C5C">
              <w:rPr>
                <w:rFonts w:ascii="Times New Roman" w:eastAsia="Times New Roman" w:hAnsi="Times New Roman" w:cs="Times New Roman"/>
                <w:color w:val="000000"/>
                <w:sz w:val="20"/>
                <w:szCs w:val="20"/>
              </w:rPr>
              <w:t>= 4–5          209</w:t>
            </w:r>
          </w:p>
        </w:tc>
        <w:tc>
          <w:tcPr>
            <w:tcW w:w="959" w:type="dxa"/>
            <w:shd w:val="clear" w:color="auto" w:fill="auto"/>
            <w:vAlign w:val="center"/>
            <w:hideMark/>
          </w:tcPr>
          <w:p w14:paraId="27C87B75"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1.231</w:t>
            </w:r>
          </w:p>
        </w:tc>
        <w:tc>
          <w:tcPr>
            <w:tcW w:w="957" w:type="dxa"/>
            <w:shd w:val="clear" w:color="auto" w:fill="auto"/>
            <w:vAlign w:val="center"/>
            <w:hideMark/>
          </w:tcPr>
          <w:p w14:paraId="5134EE47"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–0.969</w:t>
            </w:r>
          </w:p>
        </w:tc>
        <w:tc>
          <w:tcPr>
            <w:tcW w:w="957" w:type="dxa"/>
            <w:shd w:val="clear" w:color="auto" w:fill="auto"/>
            <w:vAlign w:val="center"/>
            <w:hideMark/>
          </w:tcPr>
          <w:p w14:paraId="76A5EB29"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0.265</w:t>
            </w:r>
          </w:p>
        </w:tc>
        <w:tc>
          <w:tcPr>
            <w:tcW w:w="957" w:type="dxa"/>
            <w:shd w:val="clear" w:color="auto" w:fill="auto"/>
            <w:vAlign w:val="center"/>
            <w:hideMark/>
          </w:tcPr>
          <w:p w14:paraId="563B8E23"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0.576</w:t>
            </w:r>
          </w:p>
        </w:tc>
        <w:tc>
          <w:tcPr>
            <w:tcW w:w="957" w:type="dxa"/>
            <w:shd w:val="clear" w:color="auto" w:fill="auto"/>
            <w:vAlign w:val="center"/>
            <w:hideMark/>
          </w:tcPr>
          <w:p w14:paraId="45C8B380"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–0.075</w:t>
            </w:r>
          </w:p>
        </w:tc>
        <w:tc>
          <w:tcPr>
            <w:tcW w:w="957" w:type="dxa"/>
            <w:shd w:val="clear" w:color="auto" w:fill="auto"/>
            <w:vAlign w:val="center"/>
            <w:hideMark/>
          </w:tcPr>
          <w:p w14:paraId="3F9B06B9"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1.120</w:t>
            </w:r>
          </w:p>
        </w:tc>
      </w:tr>
      <w:tr w:rsidR="0025659E" w:rsidRPr="00301C5C" w14:paraId="3B309F7C" w14:textId="77777777" w:rsidTr="0039636C">
        <w:trPr>
          <w:gridAfter w:val="1"/>
          <w:wAfter w:w="11" w:type="dxa"/>
          <w:trHeight w:val="799"/>
        </w:trPr>
        <w:tc>
          <w:tcPr>
            <w:tcW w:w="1973" w:type="dxa"/>
            <w:gridSpan w:val="2"/>
            <w:shd w:val="clear" w:color="auto" w:fill="auto"/>
            <w:vAlign w:val="center"/>
            <w:hideMark/>
          </w:tcPr>
          <w:p w14:paraId="5C2E41C1" w14:textId="77777777" w:rsidR="0025659E" w:rsidRPr="00301C5C" w:rsidRDefault="0025659E" w:rsidP="00301C5C">
            <w:pPr>
              <w:spacing w:after="0" w:line="240" w:lineRule="auto"/>
              <w:contextualSpacing/>
              <w:jc w:val="both"/>
              <w:rPr>
                <w:rFonts w:ascii="Times New Roman" w:eastAsia="Times New Roman" w:hAnsi="Times New Roman" w:cs="Times New Roman"/>
                <w:color w:val="000000"/>
                <w:sz w:val="20"/>
                <w:szCs w:val="20"/>
              </w:rPr>
            </w:pPr>
            <w:r w:rsidRPr="00301C5C">
              <w:rPr>
                <w:rFonts w:ascii="Times New Roman" w:eastAsia="Times New Roman" w:hAnsi="Times New Roman" w:cs="Times New Roman"/>
                <w:color w:val="000000"/>
                <w:sz w:val="20"/>
                <w:szCs w:val="20"/>
              </w:rPr>
              <w:t>mean (slope of regression line through annual averages)</w:t>
            </w:r>
          </w:p>
        </w:tc>
        <w:tc>
          <w:tcPr>
            <w:tcW w:w="959" w:type="dxa"/>
            <w:shd w:val="clear" w:color="auto" w:fill="auto"/>
            <w:vAlign w:val="center"/>
            <w:hideMark/>
          </w:tcPr>
          <w:p w14:paraId="759D78FA"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1.124</w:t>
            </w:r>
          </w:p>
        </w:tc>
        <w:tc>
          <w:tcPr>
            <w:tcW w:w="957" w:type="dxa"/>
            <w:shd w:val="clear" w:color="auto" w:fill="auto"/>
            <w:vAlign w:val="center"/>
            <w:hideMark/>
          </w:tcPr>
          <w:p w14:paraId="3537164B"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–1.000</w:t>
            </w:r>
          </w:p>
        </w:tc>
        <w:tc>
          <w:tcPr>
            <w:tcW w:w="957" w:type="dxa"/>
            <w:shd w:val="clear" w:color="auto" w:fill="auto"/>
            <w:vAlign w:val="center"/>
            <w:hideMark/>
          </w:tcPr>
          <w:p w14:paraId="1D5EFE4F"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0.375</w:t>
            </w:r>
          </w:p>
        </w:tc>
        <w:tc>
          <w:tcPr>
            <w:tcW w:w="957" w:type="dxa"/>
            <w:shd w:val="clear" w:color="auto" w:fill="auto"/>
            <w:vAlign w:val="center"/>
            <w:hideMark/>
          </w:tcPr>
          <w:p w14:paraId="604EE5FA"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0.400</w:t>
            </w:r>
          </w:p>
        </w:tc>
        <w:tc>
          <w:tcPr>
            <w:tcW w:w="957" w:type="dxa"/>
            <w:shd w:val="clear" w:color="auto" w:fill="auto"/>
            <w:vAlign w:val="center"/>
            <w:hideMark/>
          </w:tcPr>
          <w:p w14:paraId="4DD99A63"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0.079</w:t>
            </w:r>
          </w:p>
        </w:tc>
        <w:tc>
          <w:tcPr>
            <w:tcW w:w="957" w:type="dxa"/>
            <w:shd w:val="clear" w:color="auto" w:fill="auto"/>
            <w:vAlign w:val="center"/>
            <w:hideMark/>
          </w:tcPr>
          <w:p w14:paraId="30049764" w14:textId="77777777" w:rsidR="0025659E" w:rsidRPr="00301C5C" w:rsidRDefault="0025659E" w:rsidP="00301C5C">
            <w:pPr>
              <w:spacing w:after="0" w:line="240" w:lineRule="auto"/>
              <w:contextualSpacing/>
              <w:jc w:val="both"/>
              <w:rPr>
                <w:rFonts w:ascii="Times New Roman" w:eastAsia="Times New Roman" w:hAnsi="Times New Roman" w:cs="Times New Roman"/>
                <w:bCs/>
                <w:color w:val="000000"/>
                <w:sz w:val="20"/>
                <w:szCs w:val="20"/>
              </w:rPr>
            </w:pPr>
            <w:r w:rsidRPr="00301C5C">
              <w:rPr>
                <w:rFonts w:ascii="Times New Roman" w:eastAsia="Times New Roman" w:hAnsi="Times New Roman" w:cs="Times New Roman"/>
                <w:bCs/>
                <w:color w:val="000000"/>
                <w:sz w:val="20"/>
                <w:szCs w:val="20"/>
              </w:rPr>
              <w:t>0.873</w:t>
            </w:r>
          </w:p>
        </w:tc>
      </w:tr>
    </w:tbl>
    <w:p w14:paraId="53632ED0" w14:textId="77777777" w:rsidR="0025659E" w:rsidRPr="00301C5C" w:rsidRDefault="0025659E" w:rsidP="00301C5C">
      <w:pPr>
        <w:spacing w:after="0" w:line="240" w:lineRule="auto"/>
        <w:contextualSpacing/>
        <w:jc w:val="both"/>
        <w:rPr>
          <w:rFonts w:ascii="Times New Roman" w:hAnsi="Times New Roman" w:cs="Times New Roman"/>
          <w:sz w:val="20"/>
          <w:szCs w:val="20"/>
        </w:rPr>
      </w:pPr>
    </w:p>
    <w:p w14:paraId="1F07C871" w14:textId="3150E11F" w:rsidR="0025659E" w:rsidRPr="00301C5C" w:rsidRDefault="0025659E" w:rsidP="00301C5C">
      <w:pPr>
        <w:spacing w:after="0" w:line="240" w:lineRule="auto"/>
        <w:contextualSpacing/>
        <w:jc w:val="both"/>
        <w:rPr>
          <w:rFonts w:ascii="Times New Roman" w:hAnsi="Times New Roman" w:cs="Times New Roman"/>
          <w:sz w:val="20"/>
          <w:szCs w:val="20"/>
        </w:rPr>
      </w:pPr>
    </w:p>
    <w:p w14:paraId="08A15997" w14:textId="77777777" w:rsidR="0025659E" w:rsidRPr="00301C5C" w:rsidRDefault="0025659E" w:rsidP="00301C5C">
      <w:pPr>
        <w:spacing w:after="0" w:line="240" w:lineRule="auto"/>
        <w:contextualSpacing/>
        <w:jc w:val="both"/>
        <w:rPr>
          <w:rFonts w:ascii="Times New Roman" w:hAnsi="Times New Roman" w:cs="Times New Roman"/>
          <w:sz w:val="20"/>
          <w:szCs w:val="20"/>
        </w:rPr>
      </w:pPr>
    </w:p>
    <w:p w14:paraId="30F6B4B9" w14:textId="77777777" w:rsidR="0025659E" w:rsidRPr="00301C5C" w:rsidRDefault="0025659E" w:rsidP="00301C5C">
      <w:pPr>
        <w:spacing w:after="0" w:line="240" w:lineRule="auto"/>
        <w:contextualSpacing/>
        <w:jc w:val="both"/>
        <w:rPr>
          <w:rFonts w:ascii="Times New Roman" w:hAnsi="Times New Roman" w:cs="Times New Roman"/>
          <w:sz w:val="20"/>
          <w:szCs w:val="20"/>
        </w:rPr>
      </w:pPr>
      <w:r w:rsidRPr="00301C5C">
        <w:rPr>
          <w:rFonts w:ascii="Times New Roman" w:hAnsi="Times New Roman" w:cs="Times New Roman"/>
          <w:sz w:val="20"/>
          <w:szCs w:val="20"/>
        </w:rPr>
        <w:br w:type="page"/>
      </w:r>
    </w:p>
    <w:p w14:paraId="4F69EAB0" w14:textId="6CCA5273" w:rsidR="00023906" w:rsidRPr="00AB6C19" w:rsidRDefault="00023906" w:rsidP="00301C5C">
      <w:pPr>
        <w:spacing w:after="0" w:line="240" w:lineRule="auto"/>
        <w:contextualSpacing/>
        <w:jc w:val="both"/>
        <w:rPr>
          <w:rFonts w:ascii="Times New Roman" w:hAnsi="Times New Roman" w:cs="Times New Roman"/>
          <w:b/>
          <w:sz w:val="20"/>
          <w:szCs w:val="20"/>
        </w:rPr>
      </w:pPr>
      <w:r w:rsidRPr="00AB6C19">
        <w:rPr>
          <w:rFonts w:ascii="Times New Roman" w:hAnsi="Times New Roman" w:cs="Times New Roman"/>
          <w:b/>
          <w:sz w:val="20"/>
          <w:szCs w:val="20"/>
        </w:rPr>
        <w:lastRenderedPageBreak/>
        <w:t>Source of possible errors in WUE</w:t>
      </w:r>
      <w:r w:rsidRPr="00AB6C19">
        <w:rPr>
          <w:rFonts w:ascii="Times New Roman" w:hAnsi="Times New Roman" w:cs="Times New Roman"/>
          <w:b/>
          <w:sz w:val="20"/>
          <w:szCs w:val="20"/>
          <w:vertAlign w:val="subscript"/>
        </w:rPr>
        <w:t>i</w:t>
      </w:r>
      <w:r w:rsidR="000A0F86" w:rsidRPr="00AB6C19">
        <w:rPr>
          <w:rFonts w:ascii="Times New Roman" w:hAnsi="Times New Roman" w:cs="Times New Roman"/>
          <w:b/>
          <w:sz w:val="20"/>
          <w:szCs w:val="20"/>
        </w:rPr>
        <w:t xml:space="preserve"> measurements</w:t>
      </w:r>
    </w:p>
    <w:p w14:paraId="685D0B0D" w14:textId="77777777" w:rsidR="00AB6C19" w:rsidRDefault="00AB6C19" w:rsidP="00301C5C">
      <w:pPr>
        <w:spacing w:after="0" w:line="240" w:lineRule="auto"/>
        <w:contextualSpacing/>
        <w:jc w:val="both"/>
        <w:rPr>
          <w:rFonts w:ascii="Times New Roman" w:hAnsi="Times New Roman" w:cs="Times New Roman"/>
          <w:sz w:val="20"/>
          <w:szCs w:val="20"/>
        </w:rPr>
      </w:pPr>
    </w:p>
    <w:p w14:paraId="2D5D3782" w14:textId="3052E13F" w:rsidR="00023906" w:rsidRPr="00301C5C" w:rsidRDefault="00023906" w:rsidP="00301C5C">
      <w:pPr>
        <w:spacing w:after="0" w:line="240" w:lineRule="auto"/>
        <w:contextualSpacing/>
        <w:jc w:val="both"/>
        <w:rPr>
          <w:rFonts w:ascii="Times New Roman" w:hAnsi="Times New Roman" w:cs="Times New Roman"/>
          <w:sz w:val="20"/>
          <w:szCs w:val="20"/>
        </w:rPr>
      </w:pPr>
      <w:r w:rsidRPr="00301C5C">
        <w:rPr>
          <w:rFonts w:ascii="Times New Roman" w:hAnsi="Times New Roman" w:cs="Times New Roman"/>
          <w:sz w:val="20"/>
          <w:szCs w:val="20"/>
        </w:rPr>
        <w:t xml:space="preserve">The carbon isotope method employed for estimating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assumes that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is identical to the CO</w:t>
      </w:r>
      <w:r w:rsidRPr="00301C5C">
        <w:rPr>
          <w:rFonts w:ascii="Times New Roman" w:hAnsi="Times New Roman" w:cs="Times New Roman"/>
          <w:sz w:val="20"/>
          <w:szCs w:val="20"/>
          <w:vertAlign w:val="subscript"/>
        </w:rPr>
        <w:t>2</w:t>
      </w:r>
      <w:r w:rsidRPr="00301C5C">
        <w:rPr>
          <w:rFonts w:ascii="Times New Roman" w:hAnsi="Times New Roman" w:cs="Times New Roman"/>
          <w:sz w:val="20"/>
          <w:szCs w:val="20"/>
        </w:rPr>
        <w:t xml:space="preserve"> concentration in chloroplasts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c</w:t>
      </w:r>
      <w:r w:rsidRPr="00301C5C">
        <w:rPr>
          <w:rFonts w:ascii="Times New Roman" w:hAnsi="Times New Roman" w:cs="Times New Roman"/>
          <w:sz w:val="20"/>
          <w:szCs w:val="20"/>
        </w:rPr>
        <w:t>)</w:t>
      </w:r>
      <w:r w:rsidR="002C1E4E" w:rsidRPr="00301C5C">
        <w:rPr>
          <w:rFonts w:ascii="Times New Roman" w:hAnsi="Times New Roman" w:cs="Times New Roman"/>
          <w:sz w:val="20"/>
          <w:szCs w:val="20"/>
        </w:rPr>
        <w:t xml:space="preserve"> and </w:t>
      </w:r>
      <w:r w:rsidR="002C1E4E" w:rsidRPr="00301C5C">
        <w:rPr>
          <w:rFonts w:ascii="Times New Roman" w:hAnsi="Times New Roman" w:cs="Times New Roman"/>
          <w:sz w:val="20"/>
          <w:szCs w:val="20"/>
          <w:vertAlign w:val="superscript"/>
        </w:rPr>
        <w:t>13</w:t>
      </w:r>
      <w:r w:rsidR="002C1E4E" w:rsidRPr="00301C5C">
        <w:rPr>
          <w:rFonts w:ascii="Times New Roman" w:hAnsi="Times New Roman" w:cs="Times New Roman"/>
          <w:sz w:val="20"/>
          <w:szCs w:val="20"/>
        </w:rPr>
        <w:t>C discrimination during respiration and photorespiration is negligible</w:t>
      </w:r>
      <w:r w:rsidRPr="00301C5C">
        <w:rPr>
          <w:rFonts w:ascii="Times New Roman" w:hAnsi="Times New Roman" w:cs="Times New Roman"/>
          <w:sz w:val="20"/>
          <w:szCs w:val="20"/>
        </w:rPr>
        <w:t>. This assumption</w:t>
      </w:r>
      <w:r w:rsidR="002C1E4E" w:rsidRPr="00301C5C">
        <w:rPr>
          <w:rFonts w:ascii="Times New Roman" w:hAnsi="Times New Roman" w:cs="Times New Roman"/>
          <w:sz w:val="20"/>
          <w:szCs w:val="20"/>
        </w:rPr>
        <w:t>s</w:t>
      </w:r>
      <w:r w:rsidRPr="00301C5C">
        <w:rPr>
          <w:rFonts w:ascii="Times New Roman" w:hAnsi="Times New Roman" w:cs="Times New Roman"/>
          <w:sz w:val="20"/>
          <w:szCs w:val="20"/>
        </w:rPr>
        <w:t xml:space="preserve"> </w:t>
      </w:r>
      <w:r w:rsidR="002C1E4E" w:rsidRPr="00301C5C">
        <w:rPr>
          <w:rFonts w:ascii="Times New Roman" w:hAnsi="Times New Roman" w:cs="Times New Roman"/>
          <w:sz w:val="20"/>
          <w:szCs w:val="20"/>
        </w:rPr>
        <w:t>are</w:t>
      </w:r>
      <w:r w:rsidRPr="00301C5C">
        <w:rPr>
          <w:rFonts w:ascii="Times New Roman" w:hAnsi="Times New Roman" w:cs="Times New Roman"/>
          <w:sz w:val="20"/>
          <w:szCs w:val="20"/>
        </w:rPr>
        <w:t xml:space="preserve"> used in the simplified linear model relating Δ</w:t>
      </w:r>
      <w:r w:rsidRPr="00301C5C">
        <w:rPr>
          <w:rFonts w:ascii="Times New Roman" w:hAnsi="Times New Roman" w:cs="Times New Roman"/>
          <w:sz w:val="20"/>
          <w:szCs w:val="20"/>
          <w:vertAlign w:val="superscript"/>
        </w:rPr>
        <w:t>13</w:t>
      </w:r>
      <w:r w:rsidRPr="00301C5C">
        <w:rPr>
          <w:rFonts w:ascii="Times New Roman" w:hAnsi="Times New Roman" w:cs="Times New Roman"/>
          <w:sz w:val="20"/>
          <w:szCs w:val="20"/>
        </w:rPr>
        <w:t xml:space="preserve">C to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a</w:t>
      </w:r>
      <w:r w:rsidRPr="00301C5C">
        <w:rPr>
          <w:rFonts w:ascii="Times New Roman" w:hAnsi="Times New Roman" w:cs="Times New Roman"/>
          <w:sz w:val="20"/>
          <w:szCs w:val="20"/>
        </w:rPr>
        <w:t xml:space="preserve"> in Eq. 2 </w:t>
      </w:r>
      <w:r w:rsidRPr="00301C5C">
        <w:rPr>
          <w:rFonts w:ascii="Times New Roman" w:hAnsi="Times New Roman" w:cs="Times New Roman"/>
          <w:noProof/>
          <w:sz w:val="20"/>
          <w:szCs w:val="20"/>
        </w:rPr>
        <w:t>(Farquhar</w:t>
      </w:r>
      <w:r w:rsidRPr="00301C5C">
        <w:rPr>
          <w:rFonts w:ascii="Times New Roman" w:hAnsi="Times New Roman" w:cs="Times New Roman"/>
          <w:i/>
          <w:noProof/>
          <w:sz w:val="20"/>
          <w:szCs w:val="20"/>
        </w:rPr>
        <w:t xml:space="preserve"> et al.</w:t>
      </w:r>
      <w:r w:rsidRPr="00301C5C">
        <w:rPr>
          <w:rFonts w:ascii="Times New Roman" w:hAnsi="Times New Roman" w:cs="Times New Roman"/>
          <w:noProof/>
          <w:sz w:val="20"/>
          <w:szCs w:val="20"/>
        </w:rPr>
        <w:t xml:space="preserve"> 1982)</w:t>
      </w:r>
      <w:r w:rsidRPr="00301C5C">
        <w:rPr>
          <w:rFonts w:ascii="Times New Roman" w:hAnsi="Times New Roman" w:cs="Times New Roman"/>
          <w:sz w:val="20"/>
          <w:szCs w:val="20"/>
        </w:rPr>
        <w:t>. However, Δ</w:t>
      </w:r>
      <w:r w:rsidRPr="00301C5C">
        <w:rPr>
          <w:rFonts w:ascii="Times New Roman" w:hAnsi="Times New Roman" w:cs="Times New Roman"/>
          <w:sz w:val="20"/>
          <w:szCs w:val="20"/>
          <w:vertAlign w:val="superscript"/>
        </w:rPr>
        <w:t>13</w:t>
      </w:r>
      <w:r w:rsidRPr="00301C5C">
        <w:rPr>
          <w:rFonts w:ascii="Times New Roman" w:hAnsi="Times New Roman" w:cs="Times New Roman"/>
          <w:sz w:val="20"/>
          <w:szCs w:val="20"/>
        </w:rPr>
        <w:t xml:space="preserve">C is proportional to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c</w:t>
      </w:r>
      <w:r w:rsidRPr="00301C5C">
        <w:rPr>
          <w:rFonts w:ascii="Times New Roman" w:hAnsi="Times New Roman" w:cs="Times New Roman"/>
          <w:sz w:val="20"/>
          <w:szCs w:val="20"/>
        </w:rPr>
        <w:t xml:space="preserve"> rather than to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and, therefore, is affected by mesophyll conductance (</w:t>
      </w:r>
      <w:r w:rsidRPr="00301C5C">
        <w:rPr>
          <w:rFonts w:ascii="Times New Roman" w:hAnsi="Times New Roman" w:cs="Times New Roman"/>
          <w:i/>
          <w:sz w:val="20"/>
          <w:szCs w:val="20"/>
        </w:rPr>
        <w:t>g</w:t>
      </w:r>
      <w:r w:rsidRPr="00301C5C">
        <w:rPr>
          <w:rFonts w:ascii="Times New Roman" w:hAnsi="Times New Roman" w:cs="Times New Roman"/>
          <w:sz w:val="20"/>
          <w:szCs w:val="20"/>
          <w:vertAlign w:val="subscript"/>
        </w:rPr>
        <w:t>m</w:t>
      </w:r>
      <w:r w:rsidRPr="00301C5C">
        <w:rPr>
          <w:rFonts w:ascii="Times New Roman" w:hAnsi="Times New Roman" w:cs="Times New Roman"/>
          <w:sz w:val="20"/>
          <w:szCs w:val="20"/>
        </w:rPr>
        <w:t xml:space="preserve">) in addition to </w:t>
      </w:r>
      <w:r w:rsidRPr="00301C5C">
        <w:rPr>
          <w:rFonts w:ascii="Times New Roman" w:hAnsi="Times New Roman" w:cs="Times New Roman"/>
          <w:i/>
          <w:sz w:val="20"/>
          <w:szCs w:val="20"/>
        </w:rPr>
        <w:t>g</w:t>
      </w:r>
      <w:r w:rsidRPr="00301C5C">
        <w:rPr>
          <w:rFonts w:ascii="Times New Roman" w:hAnsi="Times New Roman" w:cs="Times New Roman"/>
          <w:sz w:val="20"/>
          <w:szCs w:val="20"/>
          <w:vertAlign w:val="subscript"/>
        </w:rPr>
        <w:t>s</w:t>
      </w:r>
      <w:r w:rsidRPr="00301C5C">
        <w:rPr>
          <w:rFonts w:ascii="Times New Roman" w:hAnsi="Times New Roman" w:cs="Times New Roman"/>
          <w:sz w:val="20"/>
          <w:szCs w:val="20"/>
        </w:rPr>
        <w:t>. Depending on plant species, photosynthetic rate and stomatal conductance, WUE</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calculated using the linear model can overestimate the real WUE</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value by up to 20%. Furthermore, the change of WUE</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due to stomatal closure can vary (0</w:t>
      </w:r>
      <w:r w:rsidR="00B875F9">
        <w:rPr>
          <w:rFonts w:ascii="Times New Roman" w:hAnsi="Times New Roman" w:cs="Times New Roman"/>
          <w:sz w:val="20"/>
          <w:szCs w:val="20"/>
        </w:rPr>
        <w:t>–</w:t>
      </w:r>
      <w:r w:rsidRPr="00301C5C">
        <w:rPr>
          <w:rFonts w:ascii="Times New Roman" w:hAnsi="Times New Roman" w:cs="Times New Roman"/>
          <w:sz w:val="20"/>
          <w:szCs w:val="20"/>
        </w:rPr>
        <w:t xml:space="preserve">10%) depending on which of the scenarios of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control shown in Fig. 2 applies </w:t>
      </w:r>
      <w:r w:rsidRPr="00301C5C">
        <w:rPr>
          <w:rFonts w:ascii="Times New Roman" w:hAnsi="Times New Roman" w:cs="Times New Roman"/>
          <w:noProof/>
          <w:sz w:val="20"/>
          <w:szCs w:val="20"/>
        </w:rPr>
        <w:t>(Seibt</w:t>
      </w:r>
      <w:r w:rsidRPr="00301C5C">
        <w:rPr>
          <w:rFonts w:ascii="Times New Roman" w:hAnsi="Times New Roman" w:cs="Times New Roman"/>
          <w:i/>
          <w:noProof/>
          <w:sz w:val="20"/>
          <w:szCs w:val="20"/>
        </w:rPr>
        <w:t xml:space="preserve"> et al.</w:t>
      </w:r>
      <w:r w:rsidRPr="00301C5C">
        <w:rPr>
          <w:rFonts w:ascii="Times New Roman" w:hAnsi="Times New Roman" w:cs="Times New Roman"/>
          <w:noProof/>
          <w:sz w:val="20"/>
          <w:szCs w:val="20"/>
        </w:rPr>
        <w:t xml:space="preserve"> 2008)</w:t>
      </w:r>
      <w:r w:rsidRPr="00301C5C">
        <w:rPr>
          <w:rFonts w:ascii="Times New Roman" w:hAnsi="Times New Roman" w:cs="Times New Roman"/>
          <w:sz w:val="20"/>
          <w:szCs w:val="20"/>
        </w:rPr>
        <w:t>. The WUE</w:t>
      </w:r>
      <w:r w:rsidRPr="00301C5C">
        <w:rPr>
          <w:rFonts w:ascii="Times New Roman" w:hAnsi="Times New Roman" w:cs="Times New Roman"/>
          <w:sz w:val="20"/>
          <w:szCs w:val="20"/>
          <w:vertAlign w:val="subscript"/>
        </w:rPr>
        <w:t>i</w:t>
      </w:r>
      <w:r w:rsidRPr="00301C5C">
        <w:rPr>
          <w:rFonts w:ascii="Times New Roman" w:hAnsi="Times New Roman" w:cs="Times New Roman"/>
          <w:sz w:val="20"/>
          <w:szCs w:val="20"/>
        </w:rPr>
        <w:t xml:space="preserve"> variations found here, which may be attributed to changing </w:t>
      </w:r>
      <w:r w:rsidRPr="00301C5C">
        <w:rPr>
          <w:rFonts w:ascii="Times New Roman" w:hAnsi="Times New Roman" w:cs="Times New Roman"/>
          <w:i/>
          <w:sz w:val="20"/>
          <w:szCs w:val="20"/>
        </w:rPr>
        <w:t>g</w:t>
      </w:r>
      <w:r w:rsidRPr="00301C5C">
        <w:rPr>
          <w:rFonts w:ascii="Times New Roman" w:hAnsi="Times New Roman" w:cs="Times New Roman"/>
          <w:sz w:val="20"/>
          <w:szCs w:val="20"/>
          <w:vertAlign w:val="subscript"/>
        </w:rPr>
        <w:t>s</w:t>
      </w:r>
      <w:r w:rsidRPr="00301C5C">
        <w:rPr>
          <w:rFonts w:ascii="Times New Roman" w:hAnsi="Times New Roman" w:cs="Times New Roman"/>
          <w:sz w:val="20"/>
          <w:szCs w:val="20"/>
        </w:rPr>
        <w:t xml:space="preserve">, reached up to </w:t>
      </w:r>
      <w:r w:rsidR="00CC769C" w:rsidRPr="00301C5C">
        <w:rPr>
          <w:rFonts w:ascii="Times New Roman" w:hAnsi="Times New Roman" w:cs="Times New Roman"/>
          <w:sz w:val="20"/>
          <w:szCs w:val="20"/>
        </w:rPr>
        <w:t>53</w:t>
      </w:r>
      <w:r w:rsidRPr="00301C5C">
        <w:rPr>
          <w:rFonts w:ascii="Times New Roman" w:hAnsi="Times New Roman" w:cs="Times New Roman"/>
          <w:sz w:val="20"/>
          <w:szCs w:val="20"/>
        </w:rPr>
        <w:t xml:space="preserve">% in RT2 or were </w:t>
      </w:r>
      <w:r w:rsidR="0076017C" w:rsidRPr="00301C5C">
        <w:rPr>
          <w:rFonts w:ascii="Times New Roman" w:hAnsi="Times New Roman" w:cs="Times New Roman"/>
          <w:sz w:val="20"/>
          <w:szCs w:val="20"/>
        </w:rPr>
        <w:t xml:space="preserve">relatively small </w:t>
      </w:r>
      <w:r w:rsidRPr="00301C5C">
        <w:rPr>
          <w:rFonts w:ascii="Times New Roman" w:hAnsi="Times New Roman" w:cs="Times New Roman"/>
          <w:sz w:val="20"/>
          <w:szCs w:val="20"/>
        </w:rPr>
        <w:t xml:space="preserve">and </w:t>
      </w:r>
      <w:r w:rsidR="0076017C" w:rsidRPr="00301C5C">
        <w:rPr>
          <w:rFonts w:ascii="Times New Roman" w:hAnsi="Times New Roman" w:cs="Times New Roman"/>
          <w:sz w:val="20"/>
          <w:szCs w:val="20"/>
        </w:rPr>
        <w:t xml:space="preserve">steady </w:t>
      </w:r>
      <w:r w:rsidRPr="00301C5C">
        <w:rPr>
          <w:rFonts w:ascii="Times New Roman" w:hAnsi="Times New Roman" w:cs="Times New Roman"/>
          <w:sz w:val="20"/>
          <w:szCs w:val="20"/>
        </w:rPr>
        <w:t xml:space="preserve">for many decades in RT1. Large or systematic long-term changes of mesophyll conductance are unlikely; however, reliable data for </w:t>
      </w:r>
      <w:r w:rsidRPr="00301C5C">
        <w:rPr>
          <w:rFonts w:ascii="Times New Roman" w:hAnsi="Times New Roman" w:cs="Times New Roman"/>
          <w:i/>
          <w:sz w:val="20"/>
          <w:szCs w:val="20"/>
        </w:rPr>
        <w:t>g</w:t>
      </w:r>
      <w:r w:rsidRPr="00301C5C">
        <w:rPr>
          <w:rFonts w:ascii="Times New Roman" w:hAnsi="Times New Roman" w:cs="Times New Roman"/>
          <w:sz w:val="20"/>
          <w:szCs w:val="20"/>
          <w:vertAlign w:val="subscript"/>
        </w:rPr>
        <w:t>m</w:t>
      </w:r>
      <w:r w:rsidRPr="00301C5C">
        <w:rPr>
          <w:rFonts w:ascii="Times New Roman" w:hAnsi="Times New Roman" w:cs="Times New Roman"/>
          <w:sz w:val="20"/>
          <w:szCs w:val="20"/>
        </w:rPr>
        <w:t xml:space="preserve"> and its response to </w:t>
      </w:r>
      <w:r w:rsidRPr="00301C5C">
        <w:rPr>
          <w:rFonts w:ascii="Times New Roman" w:hAnsi="Times New Roman" w:cs="Times New Roman"/>
          <w:i/>
          <w:sz w:val="20"/>
          <w:szCs w:val="20"/>
        </w:rPr>
        <w:t>C</w:t>
      </w:r>
      <w:r w:rsidRPr="00301C5C">
        <w:rPr>
          <w:rFonts w:ascii="Times New Roman" w:hAnsi="Times New Roman" w:cs="Times New Roman"/>
          <w:sz w:val="20"/>
          <w:szCs w:val="20"/>
          <w:vertAlign w:val="subscript"/>
        </w:rPr>
        <w:t>a</w:t>
      </w:r>
      <w:r w:rsidRPr="00301C5C">
        <w:rPr>
          <w:rFonts w:ascii="Times New Roman" w:hAnsi="Times New Roman" w:cs="Times New Roman"/>
          <w:sz w:val="20"/>
          <w:szCs w:val="20"/>
        </w:rPr>
        <w:t xml:space="preserve"> in spruce are missing so far. </w:t>
      </w:r>
    </w:p>
    <w:p w14:paraId="5A1A1A1C" w14:textId="509E2F1B" w:rsidR="00CC769C" w:rsidRPr="00301C5C" w:rsidRDefault="00023906" w:rsidP="00301C5C">
      <w:pPr>
        <w:spacing w:after="0" w:line="240" w:lineRule="auto"/>
        <w:contextualSpacing/>
        <w:jc w:val="both"/>
        <w:rPr>
          <w:rFonts w:ascii="Times New Roman" w:hAnsi="Times New Roman" w:cs="Times New Roman"/>
          <w:sz w:val="20"/>
          <w:szCs w:val="20"/>
        </w:rPr>
      </w:pPr>
      <w:r w:rsidRPr="00301C5C">
        <w:rPr>
          <w:rFonts w:ascii="Times New Roman" w:hAnsi="Times New Roman" w:cs="Times New Roman"/>
          <w:sz w:val="20"/>
          <w:szCs w:val="20"/>
        </w:rPr>
        <w:t xml:space="preserve">Another source of errors stems from the fact that carbon isotope composition of newly assimilated sugars in leaves deviates from the isotopic composition of wood and cellulose deposited in the trunk. The average difference in </w:t>
      </w:r>
      <w:r w:rsidRPr="00301C5C">
        <w:rPr>
          <w:rFonts w:ascii="Times New Roman" w:hAnsi="Times New Roman" w:cs="Times New Roman"/>
          <w:sz w:val="20"/>
          <w:szCs w:val="20"/>
        </w:rPr>
        <w:sym w:font="Symbol" w:char="F064"/>
      </w:r>
      <w:r w:rsidRPr="00301C5C">
        <w:rPr>
          <w:rFonts w:ascii="Times New Roman" w:hAnsi="Times New Roman" w:cs="Times New Roman"/>
          <w:sz w:val="20"/>
          <w:szCs w:val="20"/>
          <w:vertAlign w:val="superscript"/>
        </w:rPr>
        <w:t>13</w:t>
      </w:r>
      <w:r w:rsidRPr="00301C5C">
        <w:rPr>
          <w:rFonts w:ascii="Times New Roman" w:hAnsi="Times New Roman" w:cs="Times New Roman"/>
          <w:sz w:val="20"/>
          <w:szCs w:val="20"/>
        </w:rPr>
        <w:t>C between relatively depleted leaves and enriched heterotrophic plant tissues calculated from more than</w:t>
      </w:r>
      <w:r w:rsidR="00B875F9">
        <w:rPr>
          <w:rFonts w:ascii="Times New Roman" w:hAnsi="Times New Roman" w:cs="Times New Roman"/>
          <w:sz w:val="20"/>
          <w:szCs w:val="20"/>
        </w:rPr>
        <w:t xml:space="preserve"> 80 studies was 1.26</w:t>
      </w:r>
      <w:r w:rsidRPr="00301C5C">
        <w:rPr>
          <w:rFonts w:ascii="Times New Roman" w:hAnsi="Times New Roman" w:cs="Times New Roman"/>
          <w:sz w:val="20"/>
          <w:szCs w:val="20"/>
        </w:rPr>
        <w:t xml:space="preserve">‰ </w:t>
      </w:r>
      <w:r w:rsidRPr="00301C5C">
        <w:rPr>
          <w:rFonts w:ascii="Times New Roman" w:hAnsi="Times New Roman" w:cs="Times New Roman"/>
          <w:noProof/>
          <w:sz w:val="20"/>
          <w:szCs w:val="20"/>
        </w:rPr>
        <w:t>(Badeck</w:t>
      </w:r>
      <w:r w:rsidRPr="00301C5C">
        <w:rPr>
          <w:rFonts w:ascii="Times New Roman" w:hAnsi="Times New Roman" w:cs="Times New Roman"/>
          <w:i/>
          <w:noProof/>
          <w:sz w:val="20"/>
          <w:szCs w:val="20"/>
        </w:rPr>
        <w:t xml:space="preserve"> et al.</w:t>
      </w:r>
      <w:r w:rsidRPr="00301C5C">
        <w:rPr>
          <w:rFonts w:ascii="Times New Roman" w:hAnsi="Times New Roman" w:cs="Times New Roman"/>
          <w:noProof/>
          <w:sz w:val="20"/>
          <w:szCs w:val="20"/>
        </w:rPr>
        <w:t xml:space="preserve"> 2005)</w:t>
      </w:r>
      <w:r w:rsidRPr="00301C5C">
        <w:rPr>
          <w:rFonts w:ascii="Times New Roman" w:hAnsi="Times New Roman" w:cs="Times New Roman"/>
          <w:sz w:val="20"/>
          <w:szCs w:val="20"/>
        </w:rPr>
        <w:t xml:space="preserve">. Gessler </w:t>
      </w:r>
      <w:r w:rsidRPr="00301C5C">
        <w:rPr>
          <w:rFonts w:ascii="Times New Roman" w:hAnsi="Times New Roman" w:cs="Times New Roman"/>
          <w:i/>
          <w:sz w:val="20"/>
          <w:szCs w:val="20"/>
        </w:rPr>
        <w:t>et al.</w:t>
      </w:r>
      <w:r w:rsidRPr="00301C5C">
        <w:rPr>
          <w:rFonts w:ascii="Times New Roman" w:hAnsi="Times New Roman" w:cs="Times New Roman"/>
          <w:sz w:val="20"/>
          <w:szCs w:val="20"/>
        </w:rPr>
        <w:t xml:space="preserve"> </w:t>
      </w:r>
      <w:r w:rsidRPr="00301C5C">
        <w:rPr>
          <w:rFonts w:ascii="Times New Roman" w:hAnsi="Times New Roman" w:cs="Times New Roman"/>
          <w:noProof/>
          <w:sz w:val="20"/>
          <w:szCs w:val="20"/>
        </w:rPr>
        <w:t>(2009)</w:t>
      </w:r>
      <w:r w:rsidRPr="00301C5C">
        <w:rPr>
          <w:rFonts w:ascii="Times New Roman" w:hAnsi="Times New Roman" w:cs="Times New Roman"/>
          <w:sz w:val="20"/>
          <w:szCs w:val="20"/>
        </w:rPr>
        <w:t xml:space="preserve"> and Brandes </w:t>
      </w:r>
      <w:r w:rsidRPr="00301C5C">
        <w:rPr>
          <w:rFonts w:ascii="Times New Roman" w:hAnsi="Times New Roman" w:cs="Times New Roman"/>
          <w:i/>
          <w:sz w:val="20"/>
          <w:szCs w:val="20"/>
        </w:rPr>
        <w:t>et al.</w:t>
      </w:r>
      <w:r w:rsidRPr="00301C5C">
        <w:rPr>
          <w:rFonts w:ascii="Times New Roman" w:hAnsi="Times New Roman" w:cs="Times New Roman"/>
          <w:sz w:val="20"/>
          <w:szCs w:val="20"/>
        </w:rPr>
        <w:t xml:space="preserve"> </w:t>
      </w:r>
      <w:r w:rsidRPr="00301C5C">
        <w:rPr>
          <w:rFonts w:ascii="Times New Roman" w:hAnsi="Times New Roman" w:cs="Times New Roman"/>
          <w:noProof/>
          <w:sz w:val="20"/>
          <w:szCs w:val="20"/>
        </w:rPr>
        <w:t>(2007)</w:t>
      </w:r>
      <w:r w:rsidRPr="00301C5C">
        <w:rPr>
          <w:rFonts w:ascii="Times New Roman" w:hAnsi="Times New Roman" w:cs="Times New Roman"/>
          <w:sz w:val="20"/>
          <w:szCs w:val="20"/>
        </w:rPr>
        <w:t xml:space="preserve"> found that water-soluble sugars in the phloem of Scots pine trunks were enriched in </w:t>
      </w:r>
      <w:r w:rsidRPr="00301C5C">
        <w:rPr>
          <w:rFonts w:ascii="Times New Roman" w:hAnsi="Times New Roman" w:cs="Times New Roman"/>
          <w:sz w:val="20"/>
          <w:szCs w:val="20"/>
          <w:vertAlign w:val="superscript"/>
        </w:rPr>
        <w:t>13</w:t>
      </w:r>
      <w:r w:rsidR="00B875F9">
        <w:rPr>
          <w:rFonts w:ascii="Times New Roman" w:hAnsi="Times New Roman" w:cs="Times New Roman"/>
          <w:sz w:val="20"/>
          <w:szCs w:val="20"/>
        </w:rPr>
        <w:t>C by 1.2‰ and 1.5</w:t>
      </w:r>
      <w:r w:rsidRPr="00301C5C">
        <w:rPr>
          <w:rFonts w:ascii="Times New Roman" w:hAnsi="Times New Roman" w:cs="Times New Roman"/>
          <w:sz w:val="20"/>
          <w:szCs w:val="20"/>
        </w:rPr>
        <w:t>‰, respectively, compared with the sugars in needles. We applied corrections for the post</w:t>
      </w:r>
      <w:r w:rsidR="00CC769C" w:rsidRPr="00301C5C">
        <w:rPr>
          <w:rFonts w:ascii="Times New Roman" w:hAnsi="Times New Roman" w:cs="Times New Roman"/>
          <w:sz w:val="20"/>
          <w:szCs w:val="20"/>
        </w:rPr>
        <w:t>-</w:t>
      </w:r>
      <w:r w:rsidRPr="00301C5C">
        <w:rPr>
          <w:rFonts w:ascii="Times New Roman" w:hAnsi="Times New Roman" w:cs="Times New Roman"/>
          <w:sz w:val="20"/>
          <w:szCs w:val="20"/>
        </w:rPr>
        <w:t xml:space="preserve">photosynthetic discrimination proportionally to the magnitude of </w:t>
      </w:r>
      <w:r w:rsidRPr="00301C5C">
        <w:rPr>
          <w:rFonts w:ascii="Times New Roman" w:hAnsi="Times New Roman" w:cs="Times New Roman"/>
          <w:sz w:val="20"/>
          <w:szCs w:val="20"/>
        </w:rPr>
        <w:sym w:font="Symbol" w:char="F064"/>
      </w:r>
      <w:r w:rsidRPr="00301C5C">
        <w:rPr>
          <w:rFonts w:ascii="Times New Roman" w:hAnsi="Times New Roman" w:cs="Times New Roman"/>
          <w:sz w:val="20"/>
          <w:szCs w:val="20"/>
          <w:vertAlign w:val="superscript"/>
        </w:rPr>
        <w:t>13</w:t>
      </w:r>
      <w:r w:rsidRPr="00301C5C">
        <w:rPr>
          <w:rFonts w:ascii="Times New Roman" w:hAnsi="Times New Roman" w:cs="Times New Roman"/>
          <w:sz w:val="20"/>
          <w:szCs w:val="20"/>
        </w:rPr>
        <w:t xml:space="preserve">C in spruce cellulose according to Gebauer and Schulze </w:t>
      </w:r>
      <w:r w:rsidRPr="00301C5C">
        <w:rPr>
          <w:rFonts w:ascii="Times New Roman" w:hAnsi="Times New Roman" w:cs="Times New Roman"/>
          <w:noProof/>
          <w:sz w:val="20"/>
          <w:szCs w:val="20"/>
        </w:rPr>
        <w:t>(1991)</w:t>
      </w:r>
      <w:r w:rsidRPr="00301C5C">
        <w:rPr>
          <w:rFonts w:ascii="Times New Roman" w:hAnsi="Times New Roman" w:cs="Times New Roman"/>
          <w:sz w:val="20"/>
          <w:szCs w:val="20"/>
        </w:rPr>
        <w:t xml:space="preserve">. </w:t>
      </w:r>
      <w:r w:rsidR="0076017C" w:rsidRPr="00301C5C">
        <w:rPr>
          <w:rFonts w:ascii="Times New Roman" w:hAnsi="Times New Roman" w:cs="Times New Roman"/>
          <w:sz w:val="20"/>
          <w:szCs w:val="20"/>
        </w:rPr>
        <w:t>The c</w:t>
      </w:r>
      <w:r w:rsidRPr="00301C5C">
        <w:rPr>
          <w:rFonts w:ascii="Times New Roman" w:hAnsi="Times New Roman" w:cs="Times New Roman"/>
          <w:sz w:val="20"/>
          <w:szCs w:val="20"/>
        </w:rPr>
        <w:t xml:space="preserve">alculated </w:t>
      </w:r>
      <w:r w:rsidRPr="00301C5C">
        <w:rPr>
          <w:rFonts w:ascii="Times New Roman" w:hAnsi="Times New Roman" w:cs="Times New Roman"/>
          <w:sz w:val="20"/>
          <w:szCs w:val="20"/>
        </w:rPr>
        <w:sym w:font="Symbol" w:char="F064"/>
      </w:r>
      <w:r w:rsidRPr="00301C5C">
        <w:rPr>
          <w:rFonts w:ascii="Times New Roman" w:hAnsi="Times New Roman" w:cs="Times New Roman"/>
          <w:sz w:val="20"/>
          <w:szCs w:val="20"/>
          <w:vertAlign w:val="superscript"/>
        </w:rPr>
        <w:t>13</w:t>
      </w:r>
      <w:r w:rsidRPr="00301C5C">
        <w:rPr>
          <w:rFonts w:ascii="Times New Roman" w:hAnsi="Times New Roman" w:cs="Times New Roman"/>
          <w:sz w:val="20"/>
          <w:szCs w:val="20"/>
        </w:rPr>
        <w:t xml:space="preserve">C of needle sugars </w:t>
      </w:r>
      <w:r w:rsidR="002F5D1C" w:rsidRPr="00301C5C">
        <w:rPr>
          <w:rFonts w:ascii="Times New Roman" w:hAnsi="Times New Roman" w:cs="Times New Roman"/>
          <w:sz w:val="20"/>
          <w:szCs w:val="20"/>
        </w:rPr>
        <w:t>was lower by 1.36</w:t>
      </w:r>
      <w:r w:rsidR="00B875F9">
        <w:rPr>
          <w:rFonts w:ascii="Times New Roman" w:hAnsi="Times New Roman" w:cs="Times New Roman"/>
          <w:sz w:val="20"/>
          <w:szCs w:val="20"/>
        </w:rPr>
        <w:t xml:space="preserve"> </w:t>
      </w:r>
      <w:r w:rsidR="002F5D1C" w:rsidRPr="00301C5C">
        <w:rPr>
          <w:rFonts w:ascii="Times New Roman" w:hAnsi="Times New Roman" w:cs="Times New Roman"/>
          <w:sz w:val="20"/>
          <w:szCs w:val="20"/>
        </w:rPr>
        <w:t>±</w:t>
      </w:r>
      <w:r w:rsidR="00B875F9">
        <w:rPr>
          <w:rFonts w:ascii="Times New Roman" w:hAnsi="Times New Roman" w:cs="Times New Roman"/>
          <w:sz w:val="20"/>
          <w:szCs w:val="20"/>
        </w:rPr>
        <w:t xml:space="preserve"> 0.05</w:t>
      </w:r>
      <w:r w:rsidR="002F5D1C" w:rsidRPr="00301C5C">
        <w:rPr>
          <w:rFonts w:ascii="Times New Roman" w:hAnsi="Times New Roman" w:cs="Times New Roman"/>
          <w:sz w:val="20"/>
          <w:szCs w:val="20"/>
        </w:rPr>
        <w:t xml:space="preserve">‰ than in cellulose </w:t>
      </w:r>
      <w:r w:rsidRPr="00301C5C">
        <w:rPr>
          <w:rFonts w:ascii="Times New Roman" w:hAnsi="Times New Roman" w:cs="Times New Roman"/>
          <w:sz w:val="20"/>
          <w:szCs w:val="20"/>
        </w:rPr>
        <w:t xml:space="preserve">in the trunk. Wood and cellulose are usually further enriched in </w:t>
      </w:r>
      <w:r w:rsidRPr="00301C5C">
        <w:rPr>
          <w:rFonts w:ascii="Times New Roman" w:hAnsi="Times New Roman" w:cs="Times New Roman"/>
          <w:sz w:val="20"/>
          <w:szCs w:val="20"/>
          <w:vertAlign w:val="superscript"/>
        </w:rPr>
        <w:t>13</w:t>
      </w:r>
      <w:r w:rsidRPr="00301C5C">
        <w:rPr>
          <w:rFonts w:ascii="Times New Roman" w:hAnsi="Times New Roman" w:cs="Times New Roman"/>
          <w:sz w:val="20"/>
          <w:szCs w:val="20"/>
        </w:rPr>
        <w:t>C than phloem sugars [</w:t>
      </w:r>
      <w:r w:rsidRPr="00B875F9">
        <w:rPr>
          <w:rFonts w:ascii="Times New Roman" w:hAnsi="Times New Roman" w:cs="Times New Roman"/>
          <w:i/>
          <w:sz w:val="20"/>
          <w:szCs w:val="20"/>
        </w:rPr>
        <w:t>e.g.</w:t>
      </w:r>
      <w:r w:rsidR="00B875F9">
        <w:rPr>
          <w:rFonts w:ascii="Times New Roman" w:hAnsi="Times New Roman" w:cs="Times New Roman"/>
          <w:sz w:val="20"/>
          <w:szCs w:val="20"/>
        </w:rPr>
        <w:t>, by 1.4</w:t>
      </w:r>
      <w:r w:rsidRPr="00301C5C">
        <w:rPr>
          <w:rFonts w:ascii="Times New Roman" w:hAnsi="Times New Roman" w:cs="Times New Roman"/>
          <w:sz w:val="20"/>
          <w:szCs w:val="20"/>
        </w:rPr>
        <w:t xml:space="preserve">‰ in </w:t>
      </w:r>
      <w:r w:rsidRPr="00301C5C">
        <w:rPr>
          <w:rFonts w:ascii="Times New Roman" w:hAnsi="Times New Roman" w:cs="Times New Roman"/>
          <w:i/>
          <w:sz w:val="20"/>
          <w:szCs w:val="20"/>
        </w:rPr>
        <w:t>Pinus radiata</w:t>
      </w:r>
      <w:r w:rsidRPr="00301C5C">
        <w:rPr>
          <w:rFonts w:ascii="Times New Roman" w:hAnsi="Times New Roman" w:cs="Times New Roman"/>
          <w:sz w:val="20"/>
          <w:szCs w:val="20"/>
        </w:rPr>
        <w:t xml:space="preserve"> </w:t>
      </w:r>
      <w:r w:rsidRPr="00301C5C">
        <w:rPr>
          <w:rFonts w:ascii="Times New Roman" w:hAnsi="Times New Roman" w:cs="Times New Roman"/>
          <w:noProof/>
          <w:sz w:val="20"/>
          <w:szCs w:val="20"/>
        </w:rPr>
        <w:t>(Barbour</w:t>
      </w:r>
      <w:r w:rsidRPr="00301C5C">
        <w:rPr>
          <w:rFonts w:ascii="Times New Roman" w:hAnsi="Times New Roman" w:cs="Times New Roman"/>
          <w:i/>
          <w:noProof/>
          <w:sz w:val="20"/>
          <w:szCs w:val="20"/>
        </w:rPr>
        <w:t xml:space="preserve"> et al.</w:t>
      </w:r>
      <w:r w:rsidRPr="00301C5C">
        <w:rPr>
          <w:rFonts w:ascii="Times New Roman" w:hAnsi="Times New Roman" w:cs="Times New Roman"/>
          <w:noProof/>
          <w:sz w:val="20"/>
          <w:szCs w:val="20"/>
        </w:rPr>
        <w:t xml:space="preserve"> 2002)</w:t>
      </w:r>
      <w:r w:rsidR="0076017C" w:rsidRPr="00301C5C">
        <w:rPr>
          <w:rFonts w:ascii="Times New Roman" w:hAnsi="Times New Roman" w:cs="Times New Roman"/>
          <w:sz w:val="20"/>
          <w:szCs w:val="20"/>
        </w:rPr>
        <w:t xml:space="preserve"> and</w:t>
      </w:r>
      <w:r w:rsidR="00B875F9">
        <w:rPr>
          <w:rFonts w:ascii="Times New Roman" w:hAnsi="Times New Roman" w:cs="Times New Roman"/>
          <w:sz w:val="20"/>
          <w:szCs w:val="20"/>
        </w:rPr>
        <w:t xml:space="preserve"> 0.8</w:t>
      </w:r>
      <w:r w:rsidRPr="00301C5C">
        <w:rPr>
          <w:rFonts w:ascii="Times New Roman" w:hAnsi="Times New Roman" w:cs="Times New Roman"/>
          <w:sz w:val="20"/>
          <w:szCs w:val="20"/>
        </w:rPr>
        <w:t xml:space="preserve">‰ in </w:t>
      </w:r>
      <w:r w:rsidRPr="00301C5C">
        <w:rPr>
          <w:rFonts w:ascii="Times New Roman" w:hAnsi="Times New Roman" w:cs="Times New Roman"/>
          <w:i/>
          <w:sz w:val="20"/>
          <w:szCs w:val="20"/>
        </w:rPr>
        <w:t>Eucalyptus globulus</w:t>
      </w:r>
      <w:r w:rsidRPr="00301C5C">
        <w:rPr>
          <w:rFonts w:ascii="Times New Roman" w:hAnsi="Times New Roman" w:cs="Times New Roman"/>
          <w:sz w:val="20"/>
          <w:szCs w:val="20"/>
        </w:rPr>
        <w:t xml:space="preserve"> </w:t>
      </w:r>
      <w:r w:rsidRPr="00301C5C">
        <w:rPr>
          <w:rFonts w:ascii="Times New Roman" w:hAnsi="Times New Roman" w:cs="Times New Roman"/>
          <w:noProof/>
          <w:sz w:val="20"/>
          <w:szCs w:val="20"/>
        </w:rPr>
        <w:t>(Cernusak</w:t>
      </w:r>
      <w:r w:rsidRPr="00301C5C">
        <w:rPr>
          <w:rFonts w:ascii="Times New Roman" w:hAnsi="Times New Roman" w:cs="Times New Roman"/>
          <w:i/>
          <w:noProof/>
          <w:sz w:val="20"/>
          <w:szCs w:val="20"/>
        </w:rPr>
        <w:t xml:space="preserve"> et al.</w:t>
      </w:r>
      <w:r w:rsidRPr="00301C5C">
        <w:rPr>
          <w:rFonts w:ascii="Times New Roman" w:hAnsi="Times New Roman" w:cs="Times New Roman"/>
          <w:noProof/>
          <w:sz w:val="20"/>
          <w:szCs w:val="20"/>
        </w:rPr>
        <w:t xml:space="preserve"> 2005)</w:t>
      </w:r>
      <w:r w:rsidRPr="00301C5C">
        <w:rPr>
          <w:rFonts w:ascii="Times New Roman" w:hAnsi="Times New Roman" w:cs="Times New Roman"/>
          <w:sz w:val="20"/>
          <w:szCs w:val="20"/>
        </w:rPr>
        <w:t xml:space="preserve">]; however, the late wood was reported to be strongly depleted compared with early wood in broad-leaf trees </w:t>
      </w:r>
      <w:r w:rsidRPr="00301C5C">
        <w:rPr>
          <w:rFonts w:ascii="Times New Roman" w:hAnsi="Times New Roman" w:cs="Times New Roman"/>
          <w:noProof/>
          <w:sz w:val="20"/>
          <w:szCs w:val="20"/>
        </w:rPr>
        <w:t xml:space="preserve">(Helle </w:t>
      </w:r>
      <w:r w:rsidR="00B875F9">
        <w:rPr>
          <w:rFonts w:ascii="Times New Roman" w:hAnsi="Times New Roman" w:cs="Times New Roman"/>
          <w:noProof/>
          <w:sz w:val="20"/>
          <w:szCs w:val="20"/>
        </w:rPr>
        <w:t>and</w:t>
      </w:r>
      <w:r w:rsidRPr="00301C5C">
        <w:rPr>
          <w:rFonts w:ascii="Times New Roman" w:hAnsi="Times New Roman" w:cs="Times New Roman"/>
          <w:noProof/>
          <w:sz w:val="20"/>
          <w:szCs w:val="20"/>
        </w:rPr>
        <w:t xml:space="preserve"> Schleser 2004)</w:t>
      </w:r>
      <w:r w:rsidRPr="00301C5C">
        <w:rPr>
          <w:rFonts w:ascii="Times New Roman" w:hAnsi="Times New Roman" w:cs="Times New Roman"/>
          <w:sz w:val="20"/>
          <w:szCs w:val="20"/>
        </w:rPr>
        <w:t xml:space="preserve"> and rather less depleted in conifers </w:t>
      </w:r>
      <w:r w:rsidRPr="00301C5C">
        <w:rPr>
          <w:rFonts w:ascii="Times New Roman" w:hAnsi="Times New Roman" w:cs="Times New Roman"/>
          <w:noProof/>
          <w:sz w:val="20"/>
          <w:szCs w:val="20"/>
        </w:rPr>
        <w:t>(J</w:t>
      </w:r>
      <w:r w:rsidR="004569FD">
        <w:rPr>
          <w:rFonts w:ascii="Times New Roman" w:hAnsi="Times New Roman" w:cs="Times New Roman"/>
          <w:noProof/>
          <w:sz w:val="20"/>
          <w:szCs w:val="20"/>
        </w:rPr>
        <w:t>ä</w:t>
      </w:r>
      <w:r w:rsidRPr="00301C5C">
        <w:rPr>
          <w:rFonts w:ascii="Times New Roman" w:hAnsi="Times New Roman" w:cs="Times New Roman"/>
          <w:noProof/>
          <w:sz w:val="20"/>
          <w:szCs w:val="20"/>
        </w:rPr>
        <w:t>ggi</w:t>
      </w:r>
      <w:r w:rsidRPr="00301C5C">
        <w:rPr>
          <w:rFonts w:ascii="Times New Roman" w:hAnsi="Times New Roman" w:cs="Times New Roman"/>
          <w:i/>
          <w:noProof/>
          <w:sz w:val="20"/>
          <w:szCs w:val="20"/>
        </w:rPr>
        <w:t xml:space="preserve"> et al.</w:t>
      </w:r>
      <w:r w:rsidRPr="00301C5C">
        <w:rPr>
          <w:rFonts w:ascii="Times New Roman" w:hAnsi="Times New Roman" w:cs="Times New Roman"/>
          <w:noProof/>
          <w:sz w:val="20"/>
          <w:szCs w:val="20"/>
        </w:rPr>
        <w:t xml:space="preserve"> 2002, Vaganov</w:t>
      </w:r>
      <w:r w:rsidRPr="00301C5C">
        <w:rPr>
          <w:rFonts w:ascii="Times New Roman" w:hAnsi="Times New Roman" w:cs="Times New Roman"/>
          <w:i/>
          <w:noProof/>
          <w:sz w:val="20"/>
          <w:szCs w:val="20"/>
        </w:rPr>
        <w:t xml:space="preserve"> et al.</w:t>
      </w:r>
      <w:r w:rsidRPr="00301C5C">
        <w:rPr>
          <w:rFonts w:ascii="Times New Roman" w:hAnsi="Times New Roman" w:cs="Times New Roman"/>
          <w:noProof/>
          <w:sz w:val="20"/>
          <w:szCs w:val="20"/>
        </w:rPr>
        <w:t xml:space="preserve"> 2009)</w:t>
      </w:r>
      <w:r w:rsidRPr="00301C5C">
        <w:rPr>
          <w:rFonts w:ascii="Times New Roman" w:hAnsi="Times New Roman" w:cs="Times New Roman"/>
          <w:sz w:val="20"/>
          <w:szCs w:val="20"/>
        </w:rPr>
        <w:t>.</w:t>
      </w:r>
    </w:p>
    <w:p w14:paraId="7B4FE9F4" w14:textId="77777777" w:rsidR="00AB6C19" w:rsidRDefault="00AB6C19" w:rsidP="00301C5C">
      <w:pPr>
        <w:spacing w:after="0" w:line="240" w:lineRule="auto"/>
        <w:contextualSpacing/>
        <w:jc w:val="both"/>
        <w:rPr>
          <w:rFonts w:ascii="Times New Roman" w:hAnsi="Times New Roman" w:cs="Times New Roman"/>
          <w:sz w:val="20"/>
          <w:szCs w:val="20"/>
        </w:rPr>
      </w:pPr>
    </w:p>
    <w:p w14:paraId="066D9C6A" w14:textId="547DDB39" w:rsidR="00685205" w:rsidRPr="00AB6C19" w:rsidRDefault="00685205" w:rsidP="00301C5C">
      <w:pPr>
        <w:spacing w:after="0" w:line="240" w:lineRule="auto"/>
        <w:contextualSpacing/>
        <w:jc w:val="both"/>
        <w:rPr>
          <w:rFonts w:ascii="Times New Roman" w:hAnsi="Times New Roman" w:cs="Times New Roman"/>
          <w:b/>
          <w:sz w:val="20"/>
          <w:szCs w:val="20"/>
        </w:rPr>
      </w:pPr>
      <w:r w:rsidRPr="00AB6C19">
        <w:rPr>
          <w:rFonts w:ascii="Times New Roman" w:hAnsi="Times New Roman" w:cs="Times New Roman"/>
          <w:b/>
          <w:sz w:val="20"/>
          <w:szCs w:val="20"/>
        </w:rPr>
        <w:t>References</w:t>
      </w:r>
    </w:p>
    <w:p w14:paraId="7CA82FF0" w14:textId="77777777" w:rsidR="00AB6C19" w:rsidRDefault="00AB6C19" w:rsidP="00301C5C">
      <w:pPr>
        <w:pStyle w:val="EndNoteBibliography"/>
        <w:spacing w:after="0"/>
        <w:contextualSpacing/>
        <w:jc w:val="both"/>
        <w:rPr>
          <w:rFonts w:ascii="Times New Roman" w:hAnsi="Times New Roman" w:cs="Times New Roman"/>
          <w:sz w:val="20"/>
          <w:szCs w:val="20"/>
          <w:lang w:val="cs-CZ"/>
        </w:rPr>
      </w:pPr>
    </w:p>
    <w:p w14:paraId="79F48DD0" w14:textId="1FA33416" w:rsidR="002F5D1C" w:rsidRPr="00B875F9" w:rsidRDefault="00CC769C" w:rsidP="00B875F9">
      <w:pPr>
        <w:pStyle w:val="EndNoteBibliography"/>
        <w:spacing w:after="0"/>
        <w:ind w:left="142" w:hanging="142"/>
        <w:contextualSpacing/>
        <w:jc w:val="both"/>
        <w:rPr>
          <w:rFonts w:ascii="Times New Roman" w:hAnsi="Times New Roman" w:cs="Times New Roman"/>
          <w:sz w:val="20"/>
          <w:szCs w:val="20"/>
        </w:rPr>
      </w:pPr>
      <w:r w:rsidRPr="00B875F9">
        <w:rPr>
          <w:rFonts w:ascii="Times New Roman" w:hAnsi="Times New Roman" w:cs="Times New Roman"/>
          <w:sz w:val="20"/>
          <w:szCs w:val="20"/>
          <w:lang w:val="cs-CZ"/>
        </w:rPr>
        <w:fldChar w:fldCharType="begin"/>
      </w:r>
      <w:r w:rsidRPr="00B875F9">
        <w:rPr>
          <w:rFonts w:ascii="Times New Roman" w:hAnsi="Times New Roman" w:cs="Times New Roman"/>
          <w:sz w:val="20"/>
          <w:szCs w:val="20"/>
          <w:lang w:val="cs-CZ"/>
        </w:rPr>
        <w:instrText xml:space="preserve"> ADDIN EN.REFLIST </w:instrText>
      </w:r>
      <w:r w:rsidRPr="00B875F9">
        <w:rPr>
          <w:rFonts w:ascii="Times New Roman" w:hAnsi="Times New Roman" w:cs="Times New Roman"/>
          <w:sz w:val="20"/>
          <w:szCs w:val="20"/>
          <w:lang w:val="cs-CZ"/>
        </w:rPr>
        <w:fldChar w:fldCharType="separate"/>
      </w:r>
      <w:hyperlink r:id="rId15" w:history="1">
        <w:r w:rsidR="002F5D1C" w:rsidRPr="00FB0890">
          <w:rPr>
            <w:rStyle w:val="Hypertextovodkaz"/>
            <w:rFonts w:ascii="Times New Roman" w:hAnsi="Times New Roman" w:cs="Times New Roman"/>
            <w:sz w:val="20"/>
            <w:szCs w:val="20"/>
          </w:rPr>
          <w:t>Bade</w:t>
        </w:r>
        <w:r w:rsidR="00B875F9" w:rsidRPr="00FB0890">
          <w:rPr>
            <w:rStyle w:val="Hypertextovodkaz"/>
            <w:rFonts w:ascii="Times New Roman" w:hAnsi="Times New Roman" w:cs="Times New Roman"/>
            <w:sz w:val="20"/>
            <w:szCs w:val="20"/>
          </w:rPr>
          <w:t>ck F.</w:t>
        </w:r>
        <w:r w:rsidR="00FB0890" w:rsidRPr="00FB0890">
          <w:rPr>
            <w:rStyle w:val="Hypertextovodkaz"/>
            <w:rFonts w:ascii="Times New Roman" w:hAnsi="Times New Roman" w:cs="Times New Roman"/>
            <w:sz w:val="20"/>
            <w:szCs w:val="20"/>
          </w:rPr>
          <w:t>-</w:t>
        </w:r>
        <w:r w:rsidR="00B875F9" w:rsidRPr="00FB0890">
          <w:rPr>
            <w:rStyle w:val="Hypertextovodkaz"/>
            <w:rFonts w:ascii="Times New Roman" w:hAnsi="Times New Roman" w:cs="Times New Roman"/>
            <w:sz w:val="20"/>
            <w:szCs w:val="20"/>
          </w:rPr>
          <w:t>W., Tcherkez G., Nogu</w:t>
        </w:r>
        <w:r w:rsidR="00FB0890" w:rsidRPr="00FB0890">
          <w:rPr>
            <w:rStyle w:val="Hypertextovodkaz"/>
            <w:rFonts w:ascii="Times New Roman" w:hAnsi="Times New Roman" w:cs="Times New Roman"/>
            <w:sz w:val="20"/>
            <w:szCs w:val="20"/>
          </w:rPr>
          <w:t>é</w:t>
        </w:r>
        <w:r w:rsidR="00B875F9" w:rsidRPr="00FB0890">
          <w:rPr>
            <w:rStyle w:val="Hypertextovodkaz"/>
            <w:rFonts w:ascii="Times New Roman" w:hAnsi="Times New Roman" w:cs="Times New Roman"/>
            <w:sz w:val="20"/>
            <w:szCs w:val="20"/>
          </w:rPr>
          <w:t>s S.</w:t>
        </w:r>
        <w:r w:rsidR="002F5D1C" w:rsidRPr="00FB0890">
          <w:rPr>
            <w:rStyle w:val="Hypertextovodkaz"/>
            <w:rFonts w:ascii="Times New Roman" w:hAnsi="Times New Roman" w:cs="Times New Roman"/>
            <w:sz w:val="20"/>
            <w:szCs w:val="20"/>
          </w:rPr>
          <w:t xml:space="preserve"> </w:t>
        </w:r>
        <w:r w:rsidR="00B875F9" w:rsidRPr="00FB0890">
          <w:rPr>
            <w:rStyle w:val="Hypertextovodkaz"/>
            <w:rFonts w:ascii="Times New Roman" w:hAnsi="Times New Roman" w:cs="Times New Roman"/>
            <w:i/>
            <w:sz w:val="20"/>
            <w:szCs w:val="20"/>
          </w:rPr>
          <w:t>et al.</w:t>
        </w:r>
        <w:r w:rsidR="00B875F9" w:rsidRPr="00FB0890">
          <w:rPr>
            <w:rStyle w:val="Hypertextovodkaz"/>
            <w:rFonts w:ascii="Times New Roman" w:hAnsi="Times New Roman" w:cs="Times New Roman"/>
            <w:sz w:val="20"/>
            <w:szCs w:val="20"/>
          </w:rPr>
          <w:t>:</w:t>
        </w:r>
        <w:r w:rsidR="00FB0890" w:rsidRPr="00FB0890">
          <w:rPr>
            <w:rStyle w:val="Hypertextovodkaz"/>
            <w:rFonts w:ascii="Times New Roman" w:hAnsi="Times New Roman" w:cs="Times New Roman"/>
            <w:sz w:val="20"/>
            <w:szCs w:val="20"/>
          </w:rPr>
          <w:t xml:space="preserve"> </w:t>
        </w:r>
        <w:r w:rsidR="002F5D1C" w:rsidRPr="00FB0890">
          <w:rPr>
            <w:rStyle w:val="Hypertextovodkaz"/>
            <w:rFonts w:ascii="Times New Roman" w:hAnsi="Times New Roman" w:cs="Times New Roman"/>
            <w:sz w:val="20"/>
            <w:szCs w:val="20"/>
          </w:rPr>
          <w:t xml:space="preserve">Post-photosynthetic fractionation of stable carbon isotopes between plant organs </w:t>
        </w:r>
        <w:r w:rsidR="00FB0890" w:rsidRPr="00FB0890">
          <w:rPr>
            <w:rStyle w:val="Hypertextovodkaz"/>
            <w:rFonts w:ascii="Times New Roman" w:hAnsi="Times New Roman" w:cs="Times New Roman"/>
            <w:sz w:val="20"/>
            <w:szCs w:val="20"/>
          </w:rPr>
          <w:t>–</w:t>
        </w:r>
        <w:r w:rsidR="002F5D1C" w:rsidRPr="00FB0890">
          <w:rPr>
            <w:rStyle w:val="Hypertextovodkaz"/>
            <w:rFonts w:ascii="Times New Roman" w:hAnsi="Times New Roman" w:cs="Times New Roman"/>
            <w:sz w:val="20"/>
            <w:szCs w:val="20"/>
          </w:rPr>
          <w:t xml:space="preserve"> a widespread phenomenon. </w:t>
        </w:r>
        <w:r w:rsidR="00FB0890" w:rsidRPr="00FB0890">
          <w:rPr>
            <w:rStyle w:val="Hypertextovodkaz"/>
            <w:rFonts w:ascii="Times New Roman" w:hAnsi="Times New Roman" w:cs="Times New Roman"/>
            <w:sz w:val="20"/>
            <w:szCs w:val="20"/>
          </w:rPr>
          <w:t>– Rapid Commun. Mass Sp.</w:t>
        </w:r>
        <w:r w:rsidR="002F5D1C" w:rsidRPr="00FB0890">
          <w:rPr>
            <w:rStyle w:val="Hypertextovodkaz"/>
            <w:rFonts w:ascii="Times New Roman" w:hAnsi="Times New Roman" w:cs="Times New Roman"/>
            <w:sz w:val="20"/>
            <w:szCs w:val="20"/>
          </w:rPr>
          <w:t xml:space="preserve"> </w:t>
        </w:r>
        <w:r w:rsidR="002F5D1C" w:rsidRPr="00FB0890">
          <w:rPr>
            <w:rStyle w:val="Hypertextovodkaz"/>
            <w:rFonts w:ascii="Times New Roman" w:hAnsi="Times New Roman" w:cs="Times New Roman"/>
            <w:b/>
            <w:sz w:val="20"/>
            <w:szCs w:val="20"/>
          </w:rPr>
          <w:t>19</w:t>
        </w:r>
        <w:r w:rsidR="00FB0890" w:rsidRPr="00FB0890">
          <w:rPr>
            <w:rStyle w:val="Hypertextovodkaz"/>
            <w:rFonts w:ascii="Times New Roman" w:hAnsi="Times New Roman" w:cs="Times New Roman"/>
            <w:sz w:val="20"/>
            <w:szCs w:val="20"/>
          </w:rPr>
          <w:t>:</w:t>
        </w:r>
        <w:r w:rsidR="002F5D1C" w:rsidRPr="00FB0890">
          <w:rPr>
            <w:rStyle w:val="Hypertextovodkaz"/>
            <w:rFonts w:ascii="Times New Roman" w:hAnsi="Times New Roman" w:cs="Times New Roman"/>
            <w:sz w:val="20"/>
            <w:szCs w:val="20"/>
          </w:rPr>
          <w:t xml:space="preserve"> 1381-1391</w:t>
        </w:r>
        <w:r w:rsidR="00FB0890" w:rsidRPr="00FB0890">
          <w:rPr>
            <w:rStyle w:val="Hypertextovodkaz"/>
            <w:rFonts w:ascii="Times New Roman" w:hAnsi="Times New Roman" w:cs="Times New Roman"/>
            <w:sz w:val="20"/>
            <w:szCs w:val="20"/>
          </w:rPr>
          <w:t>, 2005.</w:t>
        </w:r>
      </w:hyperlink>
    </w:p>
    <w:p w14:paraId="5272DF3A" w14:textId="10AB27F5" w:rsidR="002F5D1C" w:rsidRPr="00B875F9" w:rsidRDefault="006F494F" w:rsidP="00B875F9">
      <w:pPr>
        <w:pStyle w:val="EndNoteBibliography"/>
        <w:spacing w:after="0"/>
        <w:ind w:left="142" w:hanging="142"/>
        <w:contextualSpacing/>
        <w:jc w:val="both"/>
        <w:rPr>
          <w:rFonts w:ascii="Times New Roman" w:hAnsi="Times New Roman" w:cs="Times New Roman"/>
          <w:sz w:val="20"/>
          <w:szCs w:val="20"/>
          <w:lang w:val="de-DE"/>
        </w:rPr>
      </w:pPr>
      <w:hyperlink r:id="rId16" w:history="1">
        <w:r w:rsidR="00FB0890" w:rsidRPr="006F494F">
          <w:rPr>
            <w:rStyle w:val="Hypertextovodkaz"/>
            <w:rFonts w:ascii="Times New Roman" w:hAnsi="Times New Roman" w:cs="Times New Roman"/>
            <w:sz w:val="20"/>
            <w:szCs w:val="20"/>
          </w:rPr>
          <w:t>Barbour M.M., Walcroft A.S., Farquhar G.D.: Seasonal variation in δ</w:t>
        </w:r>
        <w:r w:rsidR="002F5D1C" w:rsidRPr="006F494F">
          <w:rPr>
            <w:rStyle w:val="Hypertextovodkaz"/>
            <w:rFonts w:ascii="Times New Roman" w:hAnsi="Times New Roman" w:cs="Times New Roman"/>
            <w:sz w:val="20"/>
            <w:szCs w:val="20"/>
            <w:vertAlign w:val="superscript"/>
          </w:rPr>
          <w:t>13</w:t>
        </w:r>
        <w:r w:rsidR="00FB0890" w:rsidRPr="006F494F">
          <w:rPr>
            <w:rStyle w:val="Hypertextovodkaz"/>
            <w:rFonts w:ascii="Times New Roman" w:hAnsi="Times New Roman" w:cs="Times New Roman"/>
            <w:sz w:val="20"/>
            <w:szCs w:val="20"/>
          </w:rPr>
          <w:t>C</w:t>
        </w:r>
        <w:r w:rsidR="002F5D1C" w:rsidRPr="006F494F">
          <w:rPr>
            <w:rStyle w:val="Hypertextovodkaz"/>
            <w:rFonts w:ascii="Times New Roman" w:hAnsi="Times New Roman" w:cs="Times New Roman"/>
            <w:sz w:val="20"/>
            <w:szCs w:val="20"/>
          </w:rPr>
          <w:t xml:space="preserve"> and </w:t>
        </w:r>
        <w:r w:rsidR="00FB0890" w:rsidRPr="006F494F">
          <w:rPr>
            <w:rStyle w:val="Hypertextovodkaz"/>
            <w:rFonts w:ascii="Times New Roman" w:hAnsi="Times New Roman" w:cs="Times New Roman"/>
            <w:sz w:val="20"/>
            <w:szCs w:val="20"/>
          </w:rPr>
          <w:t>δ</w:t>
        </w:r>
        <w:r w:rsidR="00FB0890" w:rsidRPr="006F494F">
          <w:rPr>
            <w:rStyle w:val="Hypertextovodkaz"/>
            <w:rFonts w:ascii="Times New Roman" w:hAnsi="Times New Roman" w:cs="Times New Roman"/>
            <w:sz w:val="20"/>
            <w:szCs w:val="20"/>
            <w:vertAlign w:val="superscript"/>
          </w:rPr>
          <w:t>18</w:t>
        </w:r>
        <w:r w:rsidR="00FB0890" w:rsidRPr="006F494F">
          <w:rPr>
            <w:rStyle w:val="Hypertextovodkaz"/>
            <w:rFonts w:ascii="Times New Roman" w:hAnsi="Times New Roman" w:cs="Times New Roman"/>
            <w:sz w:val="20"/>
            <w:szCs w:val="20"/>
          </w:rPr>
          <w:t>O</w:t>
        </w:r>
        <w:r w:rsidR="002F5D1C" w:rsidRPr="006F494F">
          <w:rPr>
            <w:rStyle w:val="Hypertextovodkaz"/>
            <w:rFonts w:ascii="Times New Roman" w:hAnsi="Times New Roman" w:cs="Times New Roman"/>
            <w:sz w:val="20"/>
            <w:szCs w:val="20"/>
          </w:rPr>
          <w:t xml:space="preserve"> of cellulose from growth rings of </w:t>
        </w:r>
        <w:r w:rsidR="002F5D1C" w:rsidRPr="006F494F">
          <w:rPr>
            <w:rStyle w:val="Hypertextovodkaz"/>
            <w:rFonts w:ascii="Times New Roman" w:hAnsi="Times New Roman" w:cs="Times New Roman"/>
            <w:i/>
            <w:sz w:val="20"/>
            <w:szCs w:val="20"/>
          </w:rPr>
          <w:t>Pinus radiata</w:t>
        </w:r>
        <w:r w:rsidR="002F5D1C" w:rsidRPr="006F494F">
          <w:rPr>
            <w:rStyle w:val="Hypertextovodkaz"/>
            <w:rFonts w:ascii="Times New Roman" w:hAnsi="Times New Roman" w:cs="Times New Roman"/>
            <w:sz w:val="20"/>
            <w:szCs w:val="20"/>
          </w:rPr>
          <w:t xml:space="preserve">. </w:t>
        </w:r>
        <w:r w:rsidR="00FB0890" w:rsidRPr="006F494F">
          <w:rPr>
            <w:rStyle w:val="Hypertextovodkaz"/>
            <w:rFonts w:ascii="Times New Roman" w:hAnsi="Times New Roman" w:cs="Times New Roman"/>
            <w:sz w:val="20"/>
            <w:szCs w:val="20"/>
          </w:rPr>
          <w:t xml:space="preserve">– </w:t>
        </w:r>
        <w:r w:rsidR="00FB0890" w:rsidRPr="006F494F">
          <w:rPr>
            <w:rStyle w:val="Hypertextovodkaz"/>
            <w:rFonts w:ascii="Times New Roman" w:hAnsi="Times New Roman" w:cs="Times New Roman"/>
            <w:sz w:val="20"/>
            <w:szCs w:val="20"/>
            <w:lang w:val="de-DE"/>
          </w:rPr>
          <w:t>Plant Cell</w:t>
        </w:r>
        <w:r w:rsidR="002F5D1C" w:rsidRPr="006F494F">
          <w:rPr>
            <w:rStyle w:val="Hypertextovodkaz"/>
            <w:rFonts w:ascii="Times New Roman" w:hAnsi="Times New Roman" w:cs="Times New Roman"/>
            <w:sz w:val="20"/>
            <w:szCs w:val="20"/>
            <w:lang w:val="de-DE"/>
          </w:rPr>
          <w:t xml:space="preserve"> Environ</w:t>
        </w:r>
        <w:r w:rsidR="00FB0890" w:rsidRPr="006F494F">
          <w:rPr>
            <w:rStyle w:val="Hypertextovodkaz"/>
            <w:rFonts w:ascii="Times New Roman" w:hAnsi="Times New Roman" w:cs="Times New Roman"/>
            <w:sz w:val="20"/>
            <w:szCs w:val="20"/>
            <w:lang w:val="de-DE"/>
          </w:rPr>
          <w:t>.</w:t>
        </w:r>
        <w:r w:rsidR="002F5D1C" w:rsidRPr="006F494F">
          <w:rPr>
            <w:rStyle w:val="Hypertextovodkaz"/>
            <w:rFonts w:ascii="Times New Roman" w:hAnsi="Times New Roman" w:cs="Times New Roman"/>
            <w:sz w:val="20"/>
            <w:szCs w:val="20"/>
            <w:lang w:val="de-DE"/>
          </w:rPr>
          <w:t xml:space="preserve"> </w:t>
        </w:r>
        <w:r w:rsidR="002F5D1C" w:rsidRPr="006F494F">
          <w:rPr>
            <w:rStyle w:val="Hypertextovodkaz"/>
            <w:rFonts w:ascii="Times New Roman" w:hAnsi="Times New Roman" w:cs="Times New Roman"/>
            <w:b/>
            <w:sz w:val="20"/>
            <w:szCs w:val="20"/>
            <w:lang w:val="de-DE"/>
          </w:rPr>
          <w:t>25</w:t>
        </w:r>
        <w:r w:rsidR="00FB0890" w:rsidRPr="006F494F">
          <w:rPr>
            <w:rStyle w:val="Hypertextovodkaz"/>
            <w:rFonts w:ascii="Times New Roman" w:hAnsi="Times New Roman" w:cs="Times New Roman"/>
            <w:sz w:val="20"/>
            <w:szCs w:val="20"/>
            <w:lang w:val="de-DE"/>
          </w:rPr>
          <w:t xml:space="preserve">: 1483-1499, </w:t>
        </w:r>
        <w:r w:rsidR="00FB0890" w:rsidRPr="006F494F">
          <w:rPr>
            <w:rStyle w:val="Hypertextovodkaz"/>
            <w:rFonts w:ascii="Times New Roman" w:hAnsi="Times New Roman" w:cs="Times New Roman"/>
            <w:sz w:val="20"/>
            <w:szCs w:val="20"/>
          </w:rPr>
          <w:t>2002.</w:t>
        </w:r>
      </w:hyperlink>
    </w:p>
    <w:p w14:paraId="7AE80BC1" w14:textId="60D12D6E" w:rsidR="002F5D1C" w:rsidRPr="00B875F9" w:rsidRDefault="006F494F" w:rsidP="00B875F9">
      <w:pPr>
        <w:pStyle w:val="EndNoteBibliography"/>
        <w:spacing w:after="0"/>
        <w:ind w:left="142" w:hanging="142"/>
        <w:contextualSpacing/>
        <w:jc w:val="both"/>
        <w:rPr>
          <w:rFonts w:ascii="Times New Roman" w:hAnsi="Times New Roman" w:cs="Times New Roman"/>
          <w:sz w:val="20"/>
          <w:szCs w:val="20"/>
        </w:rPr>
      </w:pPr>
      <w:hyperlink r:id="rId17" w:history="1">
        <w:r w:rsidR="002F5D1C" w:rsidRPr="006F494F">
          <w:rPr>
            <w:rStyle w:val="Hypertextovodkaz"/>
            <w:rFonts w:ascii="Times New Roman" w:hAnsi="Times New Roman" w:cs="Times New Roman"/>
            <w:sz w:val="20"/>
            <w:szCs w:val="20"/>
            <w:lang w:val="de-DE"/>
          </w:rPr>
          <w:t>Brande</w:t>
        </w:r>
        <w:r w:rsidRPr="006F494F">
          <w:rPr>
            <w:rStyle w:val="Hypertextovodkaz"/>
            <w:rFonts w:ascii="Times New Roman" w:hAnsi="Times New Roman" w:cs="Times New Roman"/>
            <w:sz w:val="20"/>
            <w:szCs w:val="20"/>
            <w:lang w:val="de-DE"/>
          </w:rPr>
          <w:t>s E., Wenninger J., Koeniger P.</w:t>
        </w:r>
        <w:r w:rsidR="002F5D1C" w:rsidRPr="006F494F">
          <w:rPr>
            <w:rStyle w:val="Hypertextovodkaz"/>
            <w:rFonts w:ascii="Times New Roman" w:hAnsi="Times New Roman" w:cs="Times New Roman"/>
            <w:sz w:val="20"/>
            <w:szCs w:val="20"/>
            <w:lang w:val="de-DE"/>
          </w:rPr>
          <w:t xml:space="preserve"> </w:t>
        </w:r>
        <w:r w:rsidRPr="006F494F">
          <w:rPr>
            <w:rStyle w:val="Hypertextovodkaz"/>
            <w:rFonts w:ascii="Times New Roman" w:hAnsi="Times New Roman" w:cs="Times New Roman"/>
            <w:i/>
            <w:sz w:val="20"/>
            <w:szCs w:val="20"/>
            <w:lang w:val="de-DE"/>
          </w:rPr>
          <w:t>et al.</w:t>
        </w:r>
        <w:r w:rsidRPr="006F494F">
          <w:rPr>
            <w:rStyle w:val="Hypertextovodkaz"/>
            <w:rFonts w:ascii="Times New Roman" w:hAnsi="Times New Roman" w:cs="Times New Roman"/>
            <w:sz w:val="20"/>
            <w:szCs w:val="20"/>
            <w:lang w:val="de-DE"/>
          </w:rPr>
          <w:t xml:space="preserve">: </w:t>
        </w:r>
        <w:r w:rsidR="002F5D1C" w:rsidRPr="006F494F">
          <w:rPr>
            <w:rStyle w:val="Hypertextovodkaz"/>
            <w:rFonts w:ascii="Times New Roman" w:hAnsi="Times New Roman" w:cs="Times New Roman"/>
            <w:sz w:val="20"/>
            <w:szCs w:val="20"/>
          </w:rPr>
          <w:t>Assessing environmental and physiological controls over water relations in a Scots pine (</w:t>
        </w:r>
        <w:r w:rsidR="002F5D1C" w:rsidRPr="006F494F">
          <w:rPr>
            <w:rStyle w:val="Hypertextovodkaz"/>
            <w:rFonts w:ascii="Times New Roman" w:hAnsi="Times New Roman" w:cs="Times New Roman"/>
            <w:i/>
            <w:sz w:val="20"/>
            <w:szCs w:val="20"/>
          </w:rPr>
          <w:t>Pinus sylvestris</w:t>
        </w:r>
        <w:r w:rsidR="002F5D1C" w:rsidRPr="006F494F">
          <w:rPr>
            <w:rStyle w:val="Hypertextovodkaz"/>
            <w:rFonts w:ascii="Times New Roman" w:hAnsi="Times New Roman" w:cs="Times New Roman"/>
            <w:sz w:val="20"/>
            <w:szCs w:val="20"/>
          </w:rPr>
          <w:t xml:space="preserve"> L.) stand through analyses of stable isotope composition of water and organic matter. </w:t>
        </w:r>
        <w:r w:rsidRPr="006F494F">
          <w:rPr>
            <w:rStyle w:val="Hypertextovodkaz"/>
            <w:rFonts w:ascii="Times New Roman" w:hAnsi="Times New Roman" w:cs="Times New Roman"/>
            <w:sz w:val="20"/>
            <w:szCs w:val="20"/>
          </w:rPr>
          <w:t>– Plant Cell</w:t>
        </w:r>
        <w:r w:rsidR="002F5D1C" w:rsidRPr="006F494F">
          <w:rPr>
            <w:rStyle w:val="Hypertextovodkaz"/>
            <w:rFonts w:ascii="Times New Roman" w:hAnsi="Times New Roman" w:cs="Times New Roman"/>
            <w:sz w:val="20"/>
            <w:szCs w:val="20"/>
          </w:rPr>
          <w:t xml:space="preserve"> Environ</w:t>
        </w:r>
        <w:r w:rsidRPr="006F494F">
          <w:rPr>
            <w:rStyle w:val="Hypertextovodkaz"/>
            <w:rFonts w:ascii="Times New Roman" w:hAnsi="Times New Roman" w:cs="Times New Roman"/>
            <w:sz w:val="20"/>
            <w:szCs w:val="20"/>
          </w:rPr>
          <w:t>.</w:t>
        </w:r>
        <w:r w:rsidR="002F5D1C" w:rsidRPr="006F494F">
          <w:rPr>
            <w:rStyle w:val="Hypertextovodkaz"/>
            <w:rFonts w:ascii="Times New Roman" w:hAnsi="Times New Roman" w:cs="Times New Roman"/>
            <w:sz w:val="20"/>
            <w:szCs w:val="20"/>
          </w:rPr>
          <w:t xml:space="preserve"> </w:t>
        </w:r>
        <w:r w:rsidR="002F5D1C" w:rsidRPr="006F494F">
          <w:rPr>
            <w:rStyle w:val="Hypertextovodkaz"/>
            <w:rFonts w:ascii="Times New Roman" w:hAnsi="Times New Roman" w:cs="Times New Roman"/>
            <w:b/>
            <w:sz w:val="20"/>
            <w:szCs w:val="20"/>
          </w:rPr>
          <w:t>30</w:t>
        </w:r>
        <w:r w:rsidRPr="006F494F">
          <w:rPr>
            <w:rStyle w:val="Hypertextovodkaz"/>
            <w:rFonts w:ascii="Times New Roman" w:hAnsi="Times New Roman" w:cs="Times New Roman"/>
            <w:sz w:val="20"/>
            <w:szCs w:val="20"/>
          </w:rPr>
          <w:t>:</w:t>
        </w:r>
        <w:r w:rsidR="002F5D1C" w:rsidRPr="006F494F">
          <w:rPr>
            <w:rStyle w:val="Hypertextovodkaz"/>
            <w:rFonts w:ascii="Times New Roman" w:hAnsi="Times New Roman" w:cs="Times New Roman"/>
            <w:sz w:val="20"/>
            <w:szCs w:val="20"/>
          </w:rPr>
          <w:t xml:space="preserve"> 113-127</w:t>
        </w:r>
        <w:r w:rsidRPr="006F494F">
          <w:rPr>
            <w:rStyle w:val="Hypertextovodkaz"/>
            <w:rFonts w:ascii="Times New Roman" w:hAnsi="Times New Roman" w:cs="Times New Roman"/>
            <w:sz w:val="20"/>
            <w:szCs w:val="20"/>
          </w:rPr>
          <w:t>, 2007.</w:t>
        </w:r>
      </w:hyperlink>
    </w:p>
    <w:p w14:paraId="17D67D1B" w14:textId="4D21D2B2" w:rsidR="002F5D1C" w:rsidRPr="00B875F9" w:rsidRDefault="006F494F" w:rsidP="00B875F9">
      <w:pPr>
        <w:pStyle w:val="EndNoteBibliography"/>
        <w:spacing w:after="0"/>
        <w:ind w:left="142" w:hanging="142"/>
        <w:contextualSpacing/>
        <w:jc w:val="both"/>
        <w:rPr>
          <w:rFonts w:ascii="Times New Roman" w:hAnsi="Times New Roman" w:cs="Times New Roman"/>
          <w:sz w:val="20"/>
          <w:szCs w:val="20"/>
        </w:rPr>
      </w:pPr>
      <w:hyperlink r:id="rId18" w:history="1">
        <w:r w:rsidRPr="006F494F">
          <w:rPr>
            <w:rStyle w:val="Hypertextovodkaz"/>
            <w:rFonts w:ascii="Times New Roman" w:hAnsi="Times New Roman" w:cs="Times New Roman"/>
            <w:sz w:val="20"/>
            <w:szCs w:val="20"/>
          </w:rPr>
          <w:t>Cernusak L.A., Farquhar G.D.,</w:t>
        </w:r>
        <w:r w:rsidR="002F5D1C" w:rsidRPr="006F494F">
          <w:rPr>
            <w:rStyle w:val="Hypertextovodkaz"/>
            <w:rFonts w:ascii="Times New Roman" w:hAnsi="Times New Roman" w:cs="Times New Roman"/>
            <w:sz w:val="20"/>
            <w:szCs w:val="20"/>
          </w:rPr>
          <w:t xml:space="preserve"> Pate J.S.</w:t>
        </w:r>
        <w:r w:rsidRPr="006F494F">
          <w:rPr>
            <w:rStyle w:val="Hypertextovodkaz"/>
            <w:rFonts w:ascii="Times New Roman" w:hAnsi="Times New Roman" w:cs="Times New Roman"/>
            <w:sz w:val="20"/>
            <w:szCs w:val="20"/>
          </w:rPr>
          <w:t>:</w:t>
        </w:r>
        <w:r w:rsidR="002F5D1C" w:rsidRPr="006F494F">
          <w:rPr>
            <w:rStyle w:val="Hypertextovodkaz"/>
            <w:rFonts w:ascii="Times New Roman" w:hAnsi="Times New Roman" w:cs="Times New Roman"/>
            <w:sz w:val="20"/>
            <w:szCs w:val="20"/>
          </w:rPr>
          <w:t xml:space="preserve"> Environmental and physiological controls over oxygen and carbon isotope composition of Tasmanian blue gum, </w:t>
        </w:r>
        <w:r w:rsidR="002F5D1C" w:rsidRPr="006F494F">
          <w:rPr>
            <w:rStyle w:val="Hypertextovodkaz"/>
            <w:rFonts w:ascii="Times New Roman" w:hAnsi="Times New Roman" w:cs="Times New Roman"/>
            <w:i/>
            <w:sz w:val="20"/>
            <w:szCs w:val="20"/>
          </w:rPr>
          <w:t>Eucalyptus globulus</w:t>
        </w:r>
        <w:r w:rsidR="002F5D1C" w:rsidRPr="006F494F">
          <w:rPr>
            <w:rStyle w:val="Hypertextovodkaz"/>
            <w:rFonts w:ascii="Times New Roman" w:hAnsi="Times New Roman" w:cs="Times New Roman"/>
            <w:sz w:val="20"/>
            <w:szCs w:val="20"/>
          </w:rPr>
          <w:t xml:space="preserve">. </w:t>
        </w:r>
        <w:r w:rsidRPr="006F494F">
          <w:rPr>
            <w:rStyle w:val="Hypertextovodkaz"/>
            <w:rFonts w:ascii="Times New Roman" w:hAnsi="Times New Roman" w:cs="Times New Roman"/>
            <w:sz w:val="20"/>
            <w:szCs w:val="20"/>
          </w:rPr>
          <w:t>– Tree Physiol.</w:t>
        </w:r>
        <w:r w:rsidR="002F5D1C" w:rsidRPr="006F494F">
          <w:rPr>
            <w:rStyle w:val="Hypertextovodkaz"/>
            <w:rFonts w:ascii="Times New Roman" w:hAnsi="Times New Roman" w:cs="Times New Roman"/>
            <w:sz w:val="20"/>
            <w:szCs w:val="20"/>
          </w:rPr>
          <w:t xml:space="preserve"> </w:t>
        </w:r>
        <w:r w:rsidR="002F5D1C" w:rsidRPr="006F494F">
          <w:rPr>
            <w:rStyle w:val="Hypertextovodkaz"/>
            <w:rFonts w:ascii="Times New Roman" w:hAnsi="Times New Roman" w:cs="Times New Roman"/>
            <w:b/>
            <w:sz w:val="20"/>
            <w:szCs w:val="20"/>
          </w:rPr>
          <w:t>25</w:t>
        </w:r>
        <w:r w:rsidRPr="006F494F">
          <w:rPr>
            <w:rStyle w:val="Hypertextovodkaz"/>
            <w:rFonts w:ascii="Times New Roman" w:hAnsi="Times New Roman" w:cs="Times New Roman"/>
            <w:sz w:val="20"/>
            <w:szCs w:val="20"/>
          </w:rPr>
          <w:t>:</w:t>
        </w:r>
        <w:r w:rsidR="002F5D1C" w:rsidRPr="006F494F">
          <w:rPr>
            <w:rStyle w:val="Hypertextovodkaz"/>
            <w:rFonts w:ascii="Times New Roman" w:hAnsi="Times New Roman" w:cs="Times New Roman"/>
            <w:sz w:val="20"/>
            <w:szCs w:val="20"/>
          </w:rPr>
          <w:t xml:space="preserve"> 129-146</w:t>
        </w:r>
        <w:r w:rsidRPr="006F494F">
          <w:rPr>
            <w:rStyle w:val="Hypertextovodkaz"/>
            <w:rFonts w:ascii="Times New Roman" w:hAnsi="Times New Roman" w:cs="Times New Roman"/>
            <w:sz w:val="20"/>
            <w:szCs w:val="20"/>
          </w:rPr>
          <w:t>, 2005.</w:t>
        </w:r>
      </w:hyperlink>
    </w:p>
    <w:bookmarkStart w:id="0" w:name="_ENREF_24"/>
    <w:p w14:paraId="0BE8108F" w14:textId="77777777" w:rsidR="00B875F9" w:rsidRPr="00B875F9" w:rsidRDefault="00B875F9" w:rsidP="00B875F9">
      <w:pPr>
        <w:pStyle w:val="EndNoteBibliography"/>
        <w:spacing w:after="0"/>
        <w:ind w:left="142" w:hanging="142"/>
        <w:contextualSpacing/>
        <w:jc w:val="both"/>
        <w:rPr>
          <w:rFonts w:ascii="Times New Roman" w:hAnsi="Times New Roman" w:cs="Times New Roman"/>
          <w:sz w:val="20"/>
          <w:szCs w:val="20"/>
        </w:rPr>
      </w:pPr>
      <w:r w:rsidRPr="00B875F9">
        <w:rPr>
          <w:rFonts w:ascii="Times New Roman" w:hAnsi="Times New Roman" w:cs="Times New Roman"/>
          <w:sz w:val="20"/>
          <w:szCs w:val="20"/>
        </w:rPr>
        <w:fldChar w:fldCharType="begin"/>
      </w:r>
      <w:r w:rsidRPr="00B875F9">
        <w:rPr>
          <w:rFonts w:ascii="Times New Roman" w:hAnsi="Times New Roman" w:cs="Times New Roman"/>
          <w:sz w:val="20"/>
          <w:szCs w:val="20"/>
        </w:rPr>
        <w:instrText xml:space="preserve"> HYPERLINK "https://sci-hub.se/10.1071/pp9820121" </w:instrText>
      </w:r>
      <w:r w:rsidRPr="00B875F9">
        <w:rPr>
          <w:rFonts w:ascii="Times New Roman" w:hAnsi="Times New Roman" w:cs="Times New Roman"/>
          <w:sz w:val="20"/>
          <w:szCs w:val="20"/>
        </w:rPr>
        <w:fldChar w:fldCharType="separate"/>
      </w:r>
      <w:r w:rsidRPr="00B875F9">
        <w:rPr>
          <w:rStyle w:val="Hypertextovodkaz"/>
          <w:rFonts w:ascii="Times New Roman" w:hAnsi="Times New Roman" w:cs="Times New Roman"/>
          <w:sz w:val="20"/>
          <w:szCs w:val="20"/>
        </w:rPr>
        <w:t xml:space="preserve">Farquhar G.D., OꞌLeary M.H., Berry J.A.: On the relationship between carbon isotope discrimination and the intercellular carbon dioxide concentration in leaves. – Aust. J. Plant Physiol. </w:t>
      </w:r>
      <w:r w:rsidRPr="00B875F9">
        <w:rPr>
          <w:rStyle w:val="Hypertextovodkaz"/>
          <w:rFonts w:ascii="Times New Roman" w:hAnsi="Times New Roman" w:cs="Times New Roman"/>
          <w:b/>
          <w:sz w:val="20"/>
          <w:szCs w:val="20"/>
        </w:rPr>
        <w:t>9</w:t>
      </w:r>
      <w:r w:rsidRPr="00B875F9">
        <w:rPr>
          <w:rStyle w:val="Hypertextovodkaz"/>
          <w:rFonts w:ascii="Times New Roman" w:hAnsi="Times New Roman" w:cs="Times New Roman"/>
          <w:sz w:val="20"/>
          <w:szCs w:val="20"/>
        </w:rPr>
        <w:t>: 121-137, 1982.</w:t>
      </w:r>
      <w:r w:rsidRPr="00B875F9">
        <w:rPr>
          <w:rFonts w:ascii="Times New Roman" w:hAnsi="Times New Roman" w:cs="Times New Roman"/>
          <w:sz w:val="20"/>
          <w:szCs w:val="20"/>
        </w:rPr>
        <w:fldChar w:fldCharType="end"/>
      </w:r>
    </w:p>
    <w:bookmarkStart w:id="1" w:name="_ENREF_35"/>
    <w:bookmarkEnd w:id="0"/>
    <w:p w14:paraId="125D336E" w14:textId="77777777" w:rsidR="00B875F9" w:rsidRPr="00B875F9" w:rsidRDefault="00B875F9" w:rsidP="00B875F9">
      <w:pPr>
        <w:pStyle w:val="EndNoteBibliography"/>
        <w:spacing w:after="0"/>
        <w:ind w:left="142" w:hanging="142"/>
        <w:contextualSpacing/>
        <w:jc w:val="both"/>
        <w:rPr>
          <w:rFonts w:ascii="Times New Roman" w:hAnsi="Times New Roman" w:cs="Times New Roman"/>
          <w:sz w:val="20"/>
          <w:szCs w:val="20"/>
        </w:rPr>
      </w:pPr>
      <w:r w:rsidRPr="00B875F9">
        <w:rPr>
          <w:rFonts w:ascii="Times New Roman" w:hAnsi="Times New Roman" w:cs="Times New Roman"/>
          <w:sz w:val="20"/>
          <w:szCs w:val="20"/>
        </w:rPr>
        <w:fldChar w:fldCharType="begin"/>
      </w:r>
      <w:r w:rsidRPr="00B875F9">
        <w:rPr>
          <w:rFonts w:ascii="Times New Roman" w:hAnsi="Times New Roman" w:cs="Times New Roman"/>
          <w:sz w:val="20"/>
          <w:szCs w:val="20"/>
        </w:rPr>
        <w:instrText xml:space="preserve"> HYPERLINK "https://doi.org/10.1007/BF00325257" </w:instrText>
      </w:r>
      <w:r w:rsidRPr="00B875F9">
        <w:rPr>
          <w:rFonts w:ascii="Times New Roman" w:hAnsi="Times New Roman" w:cs="Times New Roman"/>
          <w:sz w:val="20"/>
          <w:szCs w:val="20"/>
        </w:rPr>
        <w:fldChar w:fldCharType="separate"/>
      </w:r>
      <w:r w:rsidRPr="00B875F9">
        <w:rPr>
          <w:rStyle w:val="Hypertextovodkaz"/>
          <w:rFonts w:ascii="Times New Roman" w:hAnsi="Times New Roman" w:cs="Times New Roman"/>
          <w:sz w:val="20"/>
          <w:szCs w:val="20"/>
        </w:rPr>
        <w:t xml:space="preserve">Gebauer G., Schulze E.-D.: Carbon and nitrogen isotope ratios in different compartments of a healthy and a declining </w:t>
      </w:r>
      <w:r w:rsidRPr="00B875F9">
        <w:rPr>
          <w:rStyle w:val="Hypertextovodkaz"/>
          <w:rFonts w:ascii="Times New Roman" w:hAnsi="Times New Roman" w:cs="Times New Roman"/>
          <w:i/>
          <w:sz w:val="20"/>
          <w:szCs w:val="20"/>
        </w:rPr>
        <w:t>Picea abies</w:t>
      </w:r>
      <w:r w:rsidRPr="00B875F9">
        <w:rPr>
          <w:rStyle w:val="Hypertextovodkaz"/>
          <w:rFonts w:ascii="Times New Roman" w:hAnsi="Times New Roman" w:cs="Times New Roman"/>
          <w:sz w:val="20"/>
          <w:szCs w:val="20"/>
        </w:rPr>
        <w:t xml:space="preserve"> forest in the Fichtelgebirge, NE Bavaria. – Oecologia </w:t>
      </w:r>
      <w:r w:rsidRPr="00B875F9">
        <w:rPr>
          <w:rStyle w:val="Hypertextovodkaz"/>
          <w:rFonts w:ascii="Times New Roman" w:hAnsi="Times New Roman" w:cs="Times New Roman"/>
          <w:b/>
          <w:sz w:val="20"/>
          <w:szCs w:val="20"/>
        </w:rPr>
        <w:t>87</w:t>
      </w:r>
      <w:r w:rsidRPr="00B875F9">
        <w:rPr>
          <w:rStyle w:val="Hypertextovodkaz"/>
          <w:rFonts w:ascii="Times New Roman" w:hAnsi="Times New Roman" w:cs="Times New Roman"/>
          <w:sz w:val="20"/>
          <w:szCs w:val="20"/>
        </w:rPr>
        <w:t>: 198-207, 1991.</w:t>
      </w:r>
      <w:r w:rsidRPr="00B875F9">
        <w:rPr>
          <w:rFonts w:ascii="Times New Roman" w:hAnsi="Times New Roman" w:cs="Times New Roman"/>
          <w:sz w:val="20"/>
          <w:szCs w:val="20"/>
        </w:rPr>
        <w:fldChar w:fldCharType="end"/>
      </w:r>
    </w:p>
    <w:bookmarkEnd w:id="1"/>
    <w:p w14:paraId="76DB4888" w14:textId="339C1167" w:rsidR="002F5D1C" w:rsidRPr="00B875F9" w:rsidRDefault="006F494F" w:rsidP="00B875F9">
      <w:pPr>
        <w:pStyle w:val="EndNoteBibliography"/>
        <w:spacing w:after="0"/>
        <w:ind w:left="142" w:hanging="142"/>
        <w:contextualSpacing/>
        <w:jc w:val="both"/>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"https://doi.org/10.1111/j.1365-3040.2009.01957.x" </w:instrText>
      </w:r>
      <w:r>
        <w:rPr>
          <w:rFonts w:ascii="Times New Roman" w:hAnsi="Times New Roman" w:cs="Times New Roman"/>
          <w:sz w:val="20"/>
          <w:szCs w:val="20"/>
        </w:rPr>
      </w:r>
      <w:r>
        <w:rPr>
          <w:rFonts w:ascii="Times New Roman" w:hAnsi="Times New Roman" w:cs="Times New Roman"/>
          <w:sz w:val="20"/>
          <w:szCs w:val="20"/>
        </w:rPr>
        <w:fldChar w:fldCharType="separate"/>
      </w:r>
      <w:r w:rsidR="002F5D1C" w:rsidRPr="006F494F">
        <w:rPr>
          <w:rStyle w:val="Hypertextovodkaz"/>
          <w:rFonts w:ascii="Times New Roman" w:hAnsi="Times New Roman" w:cs="Times New Roman"/>
          <w:sz w:val="20"/>
          <w:szCs w:val="20"/>
        </w:rPr>
        <w:t>Gess</w:t>
      </w:r>
      <w:r w:rsidRPr="006F494F">
        <w:rPr>
          <w:rStyle w:val="Hypertextovodkaz"/>
          <w:rFonts w:ascii="Times New Roman" w:hAnsi="Times New Roman" w:cs="Times New Roman"/>
          <w:sz w:val="20"/>
          <w:szCs w:val="20"/>
        </w:rPr>
        <w:t>ler A., Brandes E., Buchmann N.</w:t>
      </w:r>
      <w:r w:rsidR="002F5D1C" w:rsidRPr="006F494F">
        <w:rPr>
          <w:rStyle w:val="Hypertextovodkaz"/>
          <w:rFonts w:ascii="Times New Roman" w:hAnsi="Times New Roman" w:cs="Times New Roman"/>
          <w:sz w:val="20"/>
          <w:szCs w:val="20"/>
        </w:rPr>
        <w:t xml:space="preserve"> </w:t>
      </w:r>
      <w:r w:rsidRPr="006F494F">
        <w:rPr>
          <w:rStyle w:val="Hypertextovodkaz"/>
          <w:rFonts w:ascii="Times New Roman" w:hAnsi="Times New Roman" w:cs="Times New Roman"/>
          <w:i/>
          <w:sz w:val="20"/>
          <w:szCs w:val="20"/>
        </w:rPr>
        <w:t>et al.</w:t>
      </w:r>
      <w:r w:rsidRPr="006F494F">
        <w:rPr>
          <w:rStyle w:val="Hypertextovodkaz"/>
          <w:rFonts w:ascii="Times New Roman" w:hAnsi="Times New Roman" w:cs="Times New Roman"/>
          <w:sz w:val="20"/>
          <w:szCs w:val="20"/>
        </w:rPr>
        <w:t xml:space="preserve">: </w:t>
      </w:r>
      <w:r w:rsidR="002F5D1C" w:rsidRPr="006F494F">
        <w:rPr>
          <w:rStyle w:val="Hypertextovodkaz"/>
          <w:rFonts w:ascii="Times New Roman" w:hAnsi="Times New Roman" w:cs="Times New Roman"/>
          <w:sz w:val="20"/>
          <w:szCs w:val="20"/>
        </w:rPr>
        <w:t xml:space="preserve">Tracing carbon and oxygen isotope signals from newly assimilated sugars in the leaves to the tree-ring archive. </w:t>
      </w:r>
      <w:r w:rsidRPr="006F494F">
        <w:rPr>
          <w:rStyle w:val="Hypertextovodkaz"/>
          <w:rFonts w:ascii="Times New Roman" w:hAnsi="Times New Roman" w:cs="Times New Roman"/>
          <w:sz w:val="20"/>
          <w:szCs w:val="20"/>
        </w:rPr>
        <w:t xml:space="preserve">– Plant Cell </w:t>
      </w:r>
      <w:r w:rsidR="002F5D1C" w:rsidRPr="006F494F">
        <w:rPr>
          <w:rStyle w:val="Hypertextovodkaz"/>
          <w:rFonts w:ascii="Times New Roman" w:hAnsi="Times New Roman" w:cs="Times New Roman"/>
          <w:sz w:val="20"/>
          <w:szCs w:val="20"/>
        </w:rPr>
        <w:t>Environ</w:t>
      </w:r>
      <w:r w:rsidRPr="006F494F">
        <w:rPr>
          <w:rStyle w:val="Hypertextovodkaz"/>
          <w:rFonts w:ascii="Times New Roman" w:hAnsi="Times New Roman" w:cs="Times New Roman"/>
          <w:sz w:val="20"/>
          <w:szCs w:val="20"/>
        </w:rPr>
        <w:t>.</w:t>
      </w:r>
      <w:r w:rsidR="002F5D1C" w:rsidRPr="006F494F">
        <w:rPr>
          <w:rStyle w:val="Hypertextovodkaz"/>
          <w:rFonts w:ascii="Times New Roman" w:hAnsi="Times New Roman" w:cs="Times New Roman"/>
          <w:sz w:val="20"/>
          <w:szCs w:val="20"/>
        </w:rPr>
        <w:t xml:space="preserve"> </w:t>
      </w:r>
      <w:r w:rsidR="002F5D1C" w:rsidRPr="006F494F">
        <w:rPr>
          <w:rStyle w:val="Hypertextovodkaz"/>
          <w:rFonts w:ascii="Times New Roman" w:hAnsi="Times New Roman" w:cs="Times New Roman"/>
          <w:b/>
          <w:sz w:val="20"/>
          <w:szCs w:val="20"/>
        </w:rPr>
        <w:t>32</w:t>
      </w:r>
      <w:r w:rsidRPr="006F494F">
        <w:rPr>
          <w:rStyle w:val="Hypertextovodkaz"/>
          <w:rFonts w:ascii="Times New Roman" w:hAnsi="Times New Roman" w:cs="Times New Roman"/>
          <w:sz w:val="20"/>
          <w:szCs w:val="20"/>
        </w:rPr>
        <w:t>:</w:t>
      </w:r>
      <w:r w:rsidR="002F5D1C" w:rsidRPr="006F494F">
        <w:rPr>
          <w:rStyle w:val="Hypertextovodkaz"/>
          <w:rFonts w:ascii="Times New Roman" w:hAnsi="Times New Roman" w:cs="Times New Roman"/>
          <w:sz w:val="20"/>
          <w:szCs w:val="20"/>
        </w:rPr>
        <w:t xml:space="preserve"> 780-795</w:t>
      </w:r>
      <w:r w:rsidRPr="006F494F">
        <w:rPr>
          <w:rStyle w:val="Hypertextovodkaz"/>
          <w:rFonts w:ascii="Times New Roman" w:hAnsi="Times New Roman" w:cs="Times New Roman"/>
          <w:sz w:val="20"/>
          <w:szCs w:val="20"/>
        </w:rPr>
        <w:t>, 2009.</w:t>
      </w:r>
      <w:r>
        <w:rPr>
          <w:rFonts w:ascii="Times New Roman" w:hAnsi="Times New Roman" w:cs="Times New Roman"/>
          <w:sz w:val="20"/>
          <w:szCs w:val="20"/>
        </w:rPr>
        <w:fldChar w:fldCharType="end"/>
      </w:r>
    </w:p>
    <w:p w14:paraId="55D91BA1" w14:textId="61EA274E" w:rsidR="002F5D1C" w:rsidRPr="00B875F9" w:rsidRDefault="004569FD" w:rsidP="00B875F9">
      <w:pPr>
        <w:pStyle w:val="EndNoteBibliography"/>
        <w:spacing w:after="0"/>
        <w:ind w:left="142" w:hanging="142"/>
        <w:contextualSpacing/>
        <w:jc w:val="both"/>
        <w:rPr>
          <w:rFonts w:ascii="Times New Roman" w:hAnsi="Times New Roman" w:cs="Times New Roman"/>
          <w:sz w:val="20"/>
          <w:szCs w:val="20"/>
        </w:rPr>
      </w:pPr>
      <w:hyperlink r:id="rId19" w:history="1">
        <w:r w:rsidR="006F494F" w:rsidRPr="004569FD">
          <w:rPr>
            <w:rStyle w:val="Hypertextovodkaz"/>
            <w:rFonts w:ascii="Times New Roman" w:hAnsi="Times New Roman" w:cs="Times New Roman"/>
            <w:sz w:val="20"/>
            <w:szCs w:val="20"/>
          </w:rPr>
          <w:t>Helle G.,</w:t>
        </w:r>
        <w:r w:rsidR="002F5D1C" w:rsidRPr="004569FD">
          <w:rPr>
            <w:rStyle w:val="Hypertextovodkaz"/>
            <w:rFonts w:ascii="Times New Roman" w:hAnsi="Times New Roman" w:cs="Times New Roman"/>
            <w:sz w:val="20"/>
            <w:szCs w:val="20"/>
          </w:rPr>
          <w:t xml:space="preserve"> Schleser G.H.</w:t>
        </w:r>
        <w:r w:rsidR="006F494F" w:rsidRPr="004569FD">
          <w:rPr>
            <w:rStyle w:val="Hypertextovodkaz"/>
            <w:rFonts w:ascii="Times New Roman" w:hAnsi="Times New Roman" w:cs="Times New Roman"/>
            <w:sz w:val="20"/>
            <w:szCs w:val="20"/>
          </w:rPr>
          <w:t>:</w:t>
        </w:r>
        <w:r w:rsidR="002F5D1C" w:rsidRPr="004569FD">
          <w:rPr>
            <w:rStyle w:val="Hypertextovodkaz"/>
            <w:rFonts w:ascii="Times New Roman" w:hAnsi="Times New Roman" w:cs="Times New Roman"/>
            <w:sz w:val="20"/>
            <w:szCs w:val="20"/>
          </w:rPr>
          <w:t xml:space="preserve"> Beyond CO</w:t>
        </w:r>
        <w:r w:rsidR="002F5D1C" w:rsidRPr="004569FD">
          <w:rPr>
            <w:rStyle w:val="Hypertextovodkaz"/>
            <w:rFonts w:ascii="Times New Roman" w:hAnsi="Times New Roman" w:cs="Times New Roman"/>
            <w:sz w:val="20"/>
            <w:szCs w:val="20"/>
            <w:vertAlign w:val="subscript"/>
          </w:rPr>
          <w:t>2</w:t>
        </w:r>
        <w:r w:rsidR="002F5D1C" w:rsidRPr="004569FD">
          <w:rPr>
            <w:rStyle w:val="Hypertextovodkaz"/>
            <w:rFonts w:ascii="Times New Roman" w:hAnsi="Times New Roman" w:cs="Times New Roman"/>
            <w:sz w:val="20"/>
            <w:szCs w:val="20"/>
          </w:rPr>
          <w:t xml:space="preserve">-fixation by Rubisco </w:t>
        </w:r>
        <w:r w:rsidR="006F494F" w:rsidRPr="004569FD">
          <w:rPr>
            <w:rStyle w:val="Hypertextovodkaz"/>
            <w:rFonts w:ascii="Times New Roman" w:hAnsi="Times New Roman" w:cs="Times New Roman"/>
            <w:sz w:val="20"/>
            <w:szCs w:val="20"/>
          </w:rPr>
          <w:t>–</w:t>
        </w:r>
        <w:r w:rsidR="002F5D1C" w:rsidRPr="004569FD">
          <w:rPr>
            <w:rStyle w:val="Hypertextovodkaz"/>
            <w:rFonts w:ascii="Times New Roman" w:hAnsi="Times New Roman" w:cs="Times New Roman"/>
            <w:sz w:val="20"/>
            <w:szCs w:val="20"/>
          </w:rPr>
          <w:t xml:space="preserve"> an interpretation of </w:t>
        </w:r>
        <w:r w:rsidR="006F494F" w:rsidRPr="004569FD">
          <w:rPr>
            <w:rStyle w:val="Hypertextovodkaz"/>
            <w:rFonts w:ascii="Times New Roman" w:hAnsi="Times New Roman" w:cs="Times New Roman"/>
            <w:sz w:val="20"/>
            <w:szCs w:val="20"/>
            <w:vertAlign w:val="superscript"/>
          </w:rPr>
          <w:t>13</w:t>
        </w:r>
        <w:r w:rsidR="006F494F" w:rsidRPr="004569FD">
          <w:rPr>
            <w:rStyle w:val="Hypertextovodkaz"/>
            <w:rFonts w:ascii="Times New Roman" w:hAnsi="Times New Roman" w:cs="Times New Roman"/>
            <w:sz w:val="20"/>
            <w:szCs w:val="20"/>
          </w:rPr>
          <w:t>C</w:t>
        </w:r>
        <w:r w:rsidR="002F5D1C" w:rsidRPr="004569FD">
          <w:rPr>
            <w:rStyle w:val="Hypertextovodkaz"/>
            <w:rFonts w:ascii="Times New Roman" w:hAnsi="Times New Roman" w:cs="Times New Roman"/>
            <w:sz w:val="20"/>
            <w:szCs w:val="20"/>
          </w:rPr>
          <w:t>/</w:t>
        </w:r>
        <w:r w:rsidR="006F494F" w:rsidRPr="004569FD">
          <w:rPr>
            <w:rStyle w:val="Hypertextovodkaz"/>
            <w:rFonts w:ascii="Times New Roman" w:hAnsi="Times New Roman" w:cs="Times New Roman"/>
            <w:sz w:val="20"/>
            <w:szCs w:val="20"/>
            <w:vertAlign w:val="superscript"/>
          </w:rPr>
          <w:t>12</w:t>
        </w:r>
        <w:r w:rsidR="006F494F" w:rsidRPr="004569FD">
          <w:rPr>
            <w:rStyle w:val="Hypertextovodkaz"/>
            <w:rFonts w:ascii="Times New Roman" w:hAnsi="Times New Roman" w:cs="Times New Roman"/>
            <w:sz w:val="20"/>
            <w:szCs w:val="20"/>
          </w:rPr>
          <w:t>C</w:t>
        </w:r>
        <w:r w:rsidR="002F5D1C" w:rsidRPr="004569FD">
          <w:rPr>
            <w:rStyle w:val="Hypertextovodkaz"/>
            <w:rFonts w:ascii="Times New Roman" w:hAnsi="Times New Roman" w:cs="Times New Roman"/>
            <w:sz w:val="20"/>
            <w:szCs w:val="20"/>
          </w:rPr>
          <w:t xml:space="preserve"> variations in tree rings from novel intra-seasonal studies on broad-leaf trees. </w:t>
        </w:r>
        <w:r w:rsidR="006F494F" w:rsidRPr="004569FD">
          <w:rPr>
            <w:rStyle w:val="Hypertextovodkaz"/>
            <w:rFonts w:ascii="Times New Roman" w:hAnsi="Times New Roman" w:cs="Times New Roman"/>
            <w:sz w:val="20"/>
            <w:szCs w:val="20"/>
          </w:rPr>
          <w:t>– Plant Cell</w:t>
        </w:r>
        <w:r w:rsidR="002F5D1C" w:rsidRPr="004569FD">
          <w:rPr>
            <w:rStyle w:val="Hypertextovodkaz"/>
            <w:rFonts w:ascii="Times New Roman" w:hAnsi="Times New Roman" w:cs="Times New Roman"/>
            <w:sz w:val="20"/>
            <w:szCs w:val="20"/>
          </w:rPr>
          <w:t xml:space="preserve"> Environ</w:t>
        </w:r>
        <w:r w:rsidR="006F494F" w:rsidRPr="004569FD">
          <w:rPr>
            <w:rStyle w:val="Hypertextovodkaz"/>
            <w:rFonts w:ascii="Times New Roman" w:hAnsi="Times New Roman" w:cs="Times New Roman"/>
            <w:sz w:val="20"/>
            <w:szCs w:val="20"/>
          </w:rPr>
          <w:t>.</w:t>
        </w:r>
        <w:r w:rsidR="002F5D1C" w:rsidRPr="004569FD">
          <w:rPr>
            <w:rStyle w:val="Hypertextovodkaz"/>
            <w:rFonts w:ascii="Times New Roman" w:hAnsi="Times New Roman" w:cs="Times New Roman"/>
            <w:sz w:val="20"/>
            <w:szCs w:val="20"/>
          </w:rPr>
          <w:t xml:space="preserve"> </w:t>
        </w:r>
        <w:r w:rsidR="002F5D1C" w:rsidRPr="004569FD">
          <w:rPr>
            <w:rStyle w:val="Hypertextovodkaz"/>
            <w:rFonts w:ascii="Times New Roman" w:hAnsi="Times New Roman" w:cs="Times New Roman"/>
            <w:b/>
            <w:sz w:val="20"/>
            <w:szCs w:val="20"/>
          </w:rPr>
          <w:t>27</w:t>
        </w:r>
        <w:r w:rsidR="006F494F" w:rsidRPr="004569FD">
          <w:rPr>
            <w:rStyle w:val="Hypertextovodkaz"/>
            <w:rFonts w:ascii="Times New Roman" w:hAnsi="Times New Roman" w:cs="Times New Roman"/>
            <w:sz w:val="20"/>
            <w:szCs w:val="20"/>
          </w:rPr>
          <w:t>:</w:t>
        </w:r>
        <w:r w:rsidR="002F5D1C" w:rsidRPr="004569FD">
          <w:rPr>
            <w:rStyle w:val="Hypertextovodkaz"/>
            <w:rFonts w:ascii="Times New Roman" w:hAnsi="Times New Roman" w:cs="Times New Roman"/>
            <w:sz w:val="20"/>
            <w:szCs w:val="20"/>
          </w:rPr>
          <w:t xml:space="preserve"> 367-380</w:t>
        </w:r>
        <w:r w:rsidR="006F494F" w:rsidRPr="004569FD">
          <w:rPr>
            <w:rStyle w:val="Hypertextovodkaz"/>
            <w:rFonts w:ascii="Times New Roman" w:hAnsi="Times New Roman" w:cs="Times New Roman"/>
            <w:sz w:val="20"/>
            <w:szCs w:val="20"/>
          </w:rPr>
          <w:t>, 2004.</w:t>
        </w:r>
      </w:hyperlink>
    </w:p>
    <w:p w14:paraId="1B9D2BF2" w14:textId="490CA3B3" w:rsidR="002F5D1C" w:rsidRPr="00B875F9" w:rsidRDefault="004569FD" w:rsidP="00B875F9">
      <w:pPr>
        <w:pStyle w:val="EndNoteBibliography"/>
        <w:spacing w:after="0"/>
        <w:ind w:left="142" w:hanging="142"/>
        <w:contextualSpacing/>
        <w:jc w:val="both"/>
        <w:rPr>
          <w:rFonts w:ascii="Times New Roman" w:hAnsi="Times New Roman" w:cs="Times New Roman"/>
          <w:sz w:val="20"/>
          <w:szCs w:val="20"/>
        </w:rPr>
      </w:pPr>
      <w:hyperlink r:id="rId20" w:history="1">
        <w:r w:rsidRPr="004569FD">
          <w:rPr>
            <w:rStyle w:val="Hypertextovodkaz"/>
            <w:rFonts w:ascii="Times New Roman" w:hAnsi="Times New Roman" w:cs="Times New Roman"/>
            <w:sz w:val="20"/>
            <w:szCs w:val="20"/>
          </w:rPr>
          <w:t>Jäggi M., Saurer M., Fuhrer J.,</w:t>
        </w:r>
        <w:r w:rsidR="002F5D1C" w:rsidRPr="004569FD">
          <w:rPr>
            <w:rStyle w:val="Hypertextovodkaz"/>
            <w:rFonts w:ascii="Times New Roman" w:hAnsi="Times New Roman" w:cs="Times New Roman"/>
            <w:sz w:val="20"/>
            <w:szCs w:val="20"/>
          </w:rPr>
          <w:t xml:space="preserve"> Siegwolf R.</w:t>
        </w:r>
        <w:r w:rsidRPr="004569FD">
          <w:rPr>
            <w:rStyle w:val="Hypertextovodkaz"/>
            <w:rFonts w:ascii="Times New Roman" w:hAnsi="Times New Roman" w:cs="Times New Roman"/>
            <w:sz w:val="20"/>
            <w:szCs w:val="20"/>
          </w:rPr>
          <w:t>:</w:t>
        </w:r>
        <w:r w:rsidR="002F5D1C" w:rsidRPr="004569FD">
          <w:rPr>
            <w:rStyle w:val="Hypertextovodkaz"/>
            <w:rFonts w:ascii="Times New Roman" w:hAnsi="Times New Roman" w:cs="Times New Roman"/>
            <w:sz w:val="20"/>
            <w:szCs w:val="20"/>
          </w:rPr>
          <w:t xml:space="preserve"> The relationship between the stable carbon isotope composition of needle bulk material, starch, and tree rings in </w:t>
        </w:r>
        <w:r w:rsidR="002F5D1C" w:rsidRPr="004569FD">
          <w:rPr>
            <w:rStyle w:val="Hypertextovodkaz"/>
            <w:rFonts w:ascii="Times New Roman" w:hAnsi="Times New Roman" w:cs="Times New Roman"/>
            <w:i/>
            <w:sz w:val="20"/>
            <w:szCs w:val="20"/>
          </w:rPr>
          <w:t>Picea abies</w:t>
        </w:r>
        <w:r w:rsidR="002F5D1C" w:rsidRPr="004569FD">
          <w:rPr>
            <w:rStyle w:val="Hypertextovodkaz"/>
            <w:rFonts w:ascii="Times New Roman" w:hAnsi="Times New Roman" w:cs="Times New Roman"/>
            <w:sz w:val="20"/>
            <w:szCs w:val="20"/>
          </w:rPr>
          <w:t xml:space="preserve">. </w:t>
        </w:r>
        <w:r w:rsidRPr="004569FD">
          <w:rPr>
            <w:rStyle w:val="Hypertextovodkaz"/>
            <w:rFonts w:ascii="Times New Roman" w:hAnsi="Times New Roman" w:cs="Times New Roman"/>
            <w:sz w:val="20"/>
            <w:szCs w:val="20"/>
          </w:rPr>
          <w:t xml:space="preserve">– </w:t>
        </w:r>
        <w:r w:rsidR="002F5D1C" w:rsidRPr="004569FD">
          <w:rPr>
            <w:rStyle w:val="Hypertextovodkaz"/>
            <w:rFonts w:ascii="Times New Roman" w:hAnsi="Times New Roman" w:cs="Times New Roman"/>
            <w:sz w:val="20"/>
            <w:szCs w:val="20"/>
          </w:rPr>
          <w:t xml:space="preserve">Oecologia </w:t>
        </w:r>
        <w:r w:rsidR="002F5D1C" w:rsidRPr="004569FD">
          <w:rPr>
            <w:rStyle w:val="Hypertextovodkaz"/>
            <w:rFonts w:ascii="Times New Roman" w:hAnsi="Times New Roman" w:cs="Times New Roman"/>
            <w:b/>
            <w:sz w:val="20"/>
            <w:szCs w:val="20"/>
          </w:rPr>
          <w:t>131</w:t>
        </w:r>
        <w:r w:rsidRPr="004569FD">
          <w:rPr>
            <w:rStyle w:val="Hypertextovodkaz"/>
            <w:rFonts w:ascii="Times New Roman" w:hAnsi="Times New Roman" w:cs="Times New Roman"/>
            <w:sz w:val="20"/>
            <w:szCs w:val="20"/>
          </w:rPr>
          <w:t>:</w:t>
        </w:r>
        <w:r w:rsidR="002F5D1C" w:rsidRPr="004569FD">
          <w:rPr>
            <w:rStyle w:val="Hypertextovodkaz"/>
            <w:rFonts w:ascii="Times New Roman" w:hAnsi="Times New Roman" w:cs="Times New Roman"/>
            <w:sz w:val="20"/>
            <w:szCs w:val="20"/>
          </w:rPr>
          <w:t xml:space="preserve"> 325-332</w:t>
        </w:r>
        <w:r w:rsidRPr="004569FD">
          <w:rPr>
            <w:rStyle w:val="Hypertextovodkaz"/>
            <w:rFonts w:ascii="Times New Roman" w:hAnsi="Times New Roman" w:cs="Times New Roman"/>
            <w:sz w:val="20"/>
            <w:szCs w:val="20"/>
          </w:rPr>
          <w:t>, 2002.</w:t>
        </w:r>
      </w:hyperlink>
    </w:p>
    <w:bookmarkStart w:id="2" w:name="_ENREF_74"/>
    <w:p w14:paraId="661DE13A" w14:textId="77777777" w:rsidR="00B875F9" w:rsidRPr="00B875F9" w:rsidRDefault="00B875F9" w:rsidP="00B875F9">
      <w:pPr>
        <w:pStyle w:val="EndNoteBibliography"/>
        <w:spacing w:after="0"/>
        <w:ind w:left="142" w:hanging="142"/>
        <w:contextualSpacing/>
        <w:jc w:val="both"/>
        <w:rPr>
          <w:rFonts w:ascii="Times New Roman" w:hAnsi="Times New Roman" w:cs="Times New Roman"/>
          <w:sz w:val="20"/>
          <w:szCs w:val="20"/>
        </w:rPr>
      </w:pPr>
      <w:r w:rsidRPr="00B875F9">
        <w:rPr>
          <w:rFonts w:ascii="Times New Roman" w:hAnsi="Times New Roman" w:cs="Times New Roman"/>
          <w:sz w:val="20"/>
          <w:szCs w:val="20"/>
        </w:rPr>
        <w:fldChar w:fldCharType="begin"/>
      </w:r>
      <w:r w:rsidRPr="00B875F9">
        <w:rPr>
          <w:rFonts w:ascii="Times New Roman" w:hAnsi="Times New Roman" w:cs="Times New Roman"/>
          <w:sz w:val="20"/>
          <w:szCs w:val="20"/>
        </w:rPr>
        <w:instrText>HYPERLINK "https://doi.org/10.1007/s00442-007-0932-7"</w:instrText>
      </w:r>
      <w:r w:rsidRPr="00B875F9">
        <w:rPr>
          <w:rFonts w:ascii="Times New Roman" w:hAnsi="Times New Roman" w:cs="Times New Roman"/>
          <w:sz w:val="20"/>
          <w:szCs w:val="20"/>
        </w:rPr>
        <w:fldChar w:fldCharType="separate"/>
      </w:r>
      <w:r w:rsidRPr="00B875F9">
        <w:rPr>
          <w:rStyle w:val="Hypertextovodkaz"/>
          <w:rFonts w:ascii="Times New Roman" w:hAnsi="Times New Roman" w:cs="Times New Roman"/>
          <w:sz w:val="20"/>
          <w:szCs w:val="20"/>
        </w:rPr>
        <w:t xml:space="preserve">Seibt U., Rajabi A., Griffiths H., Berry J.A.: Carbon isotopes and water use efficiency: sense and sensitivity. – Oecologia </w:t>
      </w:r>
      <w:r w:rsidRPr="00B875F9">
        <w:rPr>
          <w:rStyle w:val="Hypertextovodkaz"/>
          <w:rFonts w:ascii="Times New Roman" w:hAnsi="Times New Roman" w:cs="Times New Roman"/>
          <w:b/>
          <w:sz w:val="20"/>
          <w:szCs w:val="20"/>
        </w:rPr>
        <w:t>155</w:t>
      </w:r>
      <w:r w:rsidRPr="00B875F9">
        <w:rPr>
          <w:rStyle w:val="Hypertextovodkaz"/>
          <w:rFonts w:ascii="Times New Roman" w:hAnsi="Times New Roman" w:cs="Times New Roman"/>
          <w:sz w:val="20"/>
          <w:szCs w:val="20"/>
        </w:rPr>
        <w:t>: 441-454, 2008.</w:t>
      </w:r>
      <w:r w:rsidRPr="00B875F9">
        <w:rPr>
          <w:rFonts w:ascii="Times New Roman" w:hAnsi="Times New Roman" w:cs="Times New Roman"/>
          <w:sz w:val="20"/>
          <w:szCs w:val="20"/>
        </w:rPr>
        <w:fldChar w:fldCharType="end"/>
      </w:r>
    </w:p>
    <w:bookmarkEnd w:id="2"/>
    <w:p w14:paraId="4A75D04C" w14:textId="69D350EA" w:rsidR="002F5D1C" w:rsidRPr="00B875F9" w:rsidRDefault="00EC5B34" w:rsidP="00B875F9">
      <w:pPr>
        <w:pStyle w:val="EndNoteBibliography"/>
        <w:spacing w:after="0"/>
        <w:ind w:left="142" w:hanging="142"/>
        <w:contextualSpacing/>
        <w:jc w:val="both"/>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"https://doi.org/10.1007/s00442-009-1421-y" </w:instrText>
      </w:r>
      <w:r>
        <w:rPr>
          <w:rFonts w:ascii="Times New Roman" w:hAnsi="Times New Roman" w:cs="Times New Roman"/>
          <w:sz w:val="20"/>
          <w:szCs w:val="20"/>
        </w:rPr>
      </w:r>
      <w:r>
        <w:rPr>
          <w:rFonts w:ascii="Times New Roman" w:hAnsi="Times New Roman" w:cs="Times New Roman"/>
          <w:sz w:val="20"/>
          <w:szCs w:val="20"/>
        </w:rPr>
        <w:fldChar w:fldCharType="separate"/>
      </w:r>
      <w:r w:rsidR="002F5D1C" w:rsidRPr="00EC5B34">
        <w:rPr>
          <w:rStyle w:val="Hypertextovodkaz"/>
          <w:rFonts w:ascii="Times New Roman" w:hAnsi="Times New Roman" w:cs="Times New Roman"/>
          <w:sz w:val="20"/>
          <w:szCs w:val="20"/>
        </w:rPr>
        <w:t>Vaganov E.A.</w:t>
      </w:r>
      <w:r w:rsidR="004569FD" w:rsidRPr="00EC5B34">
        <w:rPr>
          <w:rStyle w:val="Hypertextovodkaz"/>
          <w:rFonts w:ascii="Times New Roman" w:hAnsi="Times New Roman" w:cs="Times New Roman"/>
          <w:sz w:val="20"/>
          <w:szCs w:val="20"/>
        </w:rPr>
        <w:t>, Schulze E.</w:t>
      </w:r>
      <w:r w:rsidRPr="00EC5B34">
        <w:rPr>
          <w:rStyle w:val="Hypertextovodkaz"/>
          <w:rFonts w:ascii="Times New Roman" w:hAnsi="Times New Roman" w:cs="Times New Roman"/>
          <w:sz w:val="20"/>
          <w:szCs w:val="20"/>
        </w:rPr>
        <w:t>-</w:t>
      </w:r>
      <w:r w:rsidR="004569FD" w:rsidRPr="00EC5B34">
        <w:rPr>
          <w:rStyle w:val="Hypertextovodkaz"/>
          <w:rFonts w:ascii="Times New Roman" w:hAnsi="Times New Roman" w:cs="Times New Roman"/>
          <w:sz w:val="20"/>
          <w:szCs w:val="20"/>
        </w:rPr>
        <w:t>D., Skomarkova M.V.</w:t>
      </w:r>
      <w:r w:rsidR="002F5D1C" w:rsidRPr="00EC5B34">
        <w:rPr>
          <w:rStyle w:val="Hypertextovodkaz"/>
          <w:rFonts w:ascii="Times New Roman" w:hAnsi="Times New Roman" w:cs="Times New Roman"/>
          <w:sz w:val="20"/>
          <w:szCs w:val="20"/>
        </w:rPr>
        <w:t xml:space="preserve"> </w:t>
      </w:r>
      <w:r w:rsidR="004569FD" w:rsidRPr="00EC5B34">
        <w:rPr>
          <w:rStyle w:val="Hypertextovodkaz"/>
          <w:rFonts w:ascii="Times New Roman" w:hAnsi="Times New Roman" w:cs="Times New Roman"/>
          <w:i/>
          <w:sz w:val="20"/>
          <w:szCs w:val="20"/>
        </w:rPr>
        <w:t>et al.</w:t>
      </w:r>
      <w:r w:rsidR="00B24823" w:rsidRPr="00EC5B34">
        <w:rPr>
          <w:rStyle w:val="Hypertextovodkaz"/>
          <w:rFonts w:ascii="Times New Roman" w:hAnsi="Times New Roman" w:cs="Times New Roman"/>
          <w:sz w:val="20"/>
          <w:szCs w:val="20"/>
        </w:rPr>
        <w:t>:</w:t>
      </w:r>
      <w:r w:rsidR="002F5D1C" w:rsidRPr="00EC5B34">
        <w:rPr>
          <w:rStyle w:val="Hypertextovodkaz"/>
          <w:rFonts w:ascii="Times New Roman" w:hAnsi="Times New Roman" w:cs="Times New Roman"/>
          <w:sz w:val="20"/>
          <w:szCs w:val="20"/>
        </w:rPr>
        <w:t xml:space="preserve"> Intra-annual variability of anatomical structure and </w:t>
      </w:r>
      <w:r w:rsidRPr="00EC5B34">
        <w:rPr>
          <w:rStyle w:val="Hypertextovodkaz"/>
          <w:rFonts w:ascii="Times New Roman" w:hAnsi="Times New Roman" w:cs="Times New Roman"/>
          <w:sz w:val="20"/>
          <w:szCs w:val="20"/>
        </w:rPr>
        <w:t>δ</w:t>
      </w:r>
      <w:r w:rsidRPr="00EC5B34">
        <w:rPr>
          <w:rStyle w:val="Hypertextovodkaz"/>
          <w:rFonts w:ascii="Times New Roman" w:hAnsi="Times New Roman" w:cs="Times New Roman"/>
          <w:sz w:val="20"/>
          <w:szCs w:val="20"/>
          <w:vertAlign w:val="superscript"/>
        </w:rPr>
        <w:t>13</w:t>
      </w:r>
      <w:r w:rsidRPr="00EC5B34">
        <w:rPr>
          <w:rStyle w:val="Hypertextovodkaz"/>
          <w:rFonts w:ascii="Times New Roman" w:hAnsi="Times New Roman" w:cs="Times New Roman"/>
          <w:sz w:val="20"/>
          <w:szCs w:val="20"/>
        </w:rPr>
        <w:t>C</w:t>
      </w:r>
      <w:r w:rsidR="002F5D1C" w:rsidRPr="00EC5B34">
        <w:rPr>
          <w:rStyle w:val="Hypertextovodkaz"/>
          <w:rFonts w:ascii="Times New Roman" w:hAnsi="Times New Roman" w:cs="Times New Roman"/>
          <w:sz w:val="20"/>
          <w:szCs w:val="20"/>
        </w:rPr>
        <w:t xml:space="preserve"> values within tree rings of spruce and pine in alpine, temperate and boreal Europe. </w:t>
      </w:r>
      <w:r w:rsidR="00B24823" w:rsidRPr="00EC5B34">
        <w:rPr>
          <w:rStyle w:val="Hypertextovodkaz"/>
          <w:rFonts w:ascii="Times New Roman" w:hAnsi="Times New Roman" w:cs="Times New Roman"/>
          <w:sz w:val="20"/>
          <w:szCs w:val="20"/>
        </w:rPr>
        <w:t xml:space="preserve">– </w:t>
      </w:r>
      <w:r w:rsidR="002F5D1C" w:rsidRPr="00EC5B34">
        <w:rPr>
          <w:rStyle w:val="Hypertextovodkaz"/>
          <w:rFonts w:ascii="Times New Roman" w:hAnsi="Times New Roman" w:cs="Times New Roman"/>
          <w:sz w:val="20"/>
          <w:szCs w:val="20"/>
        </w:rPr>
        <w:t xml:space="preserve">Oecologia </w:t>
      </w:r>
      <w:r w:rsidR="002F5D1C" w:rsidRPr="00EC5B34">
        <w:rPr>
          <w:rStyle w:val="Hypertextovodkaz"/>
          <w:rFonts w:ascii="Times New Roman" w:hAnsi="Times New Roman" w:cs="Times New Roman"/>
          <w:b/>
          <w:sz w:val="20"/>
          <w:szCs w:val="20"/>
        </w:rPr>
        <w:t>161</w:t>
      </w:r>
      <w:r w:rsidR="00B24823" w:rsidRPr="00EC5B34">
        <w:rPr>
          <w:rStyle w:val="Hypertextovodkaz"/>
          <w:rFonts w:ascii="Times New Roman" w:hAnsi="Times New Roman" w:cs="Times New Roman"/>
          <w:sz w:val="20"/>
          <w:szCs w:val="20"/>
        </w:rPr>
        <w:t>:</w:t>
      </w:r>
      <w:r w:rsidRPr="00EC5B34">
        <w:rPr>
          <w:rStyle w:val="Hypertextovodkaz"/>
          <w:rFonts w:ascii="Times New Roman" w:hAnsi="Times New Roman" w:cs="Times New Roman"/>
          <w:sz w:val="20"/>
          <w:szCs w:val="20"/>
        </w:rPr>
        <w:t xml:space="preserve"> 729-745, 2009.</w:t>
      </w:r>
      <w:r>
        <w:rPr>
          <w:rFonts w:ascii="Times New Roman" w:hAnsi="Times New Roman" w:cs="Times New Roman"/>
          <w:sz w:val="20"/>
          <w:szCs w:val="20"/>
        </w:rPr>
        <w:fldChar w:fldCharType="end"/>
      </w:r>
    </w:p>
    <w:p w14:paraId="42DA6538" w14:textId="7189B1C5" w:rsidR="00023906" w:rsidRPr="00301C5C" w:rsidRDefault="00CC769C" w:rsidP="00EC5B34">
      <w:pPr>
        <w:spacing w:after="0" w:line="240" w:lineRule="auto"/>
        <w:contextualSpacing/>
        <w:jc w:val="both"/>
        <w:rPr>
          <w:rFonts w:ascii="Times New Roman" w:hAnsi="Times New Roman" w:cs="Times New Roman"/>
          <w:sz w:val="20"/>
          <w:szCs w:val="20"/>
          <w:lang w:val="cs-CZ"/>
        </w:rPr>
      </w:pPr>
      <w:r w:rsidRPr="00B875F9">
        <w:rPr>
          <w:rFonts w:ascii="Times New Roman" w:hAnsi="Times New Roman" w:cs="Times New Roman"/>
          <w:sz w:val="20"/>
          <w:szCs w:val="20"/>
          <w:lang w:val="cs-CZ"/>
        </w:rPr>
        <w:fldChar w:fldCharType="end"/>
      </w:r>
      <w:bookmarkStart w:id="3" w:name="_GoBack"/>
      <w:bookmarkEnd w:id="3"/>
    </w:p>
    <w:sectPr w:rsidR="00023906" w:rsidRPr="00301C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8BE79" w14:textId="77777777" w:rsidR="00540070" w:rsidRDefault="00540070" w:rsidP="00ED456F">
      <w:pPr>
        <w:spacing w:after="0" w:line="240" w:lineRule="auto"/>
      </w:pPr>
      <w:r>
        <w:separator/>
      </w:r>
    </w:p>
  </w:endnote>
  <w:endnote w:type="continuationSeparator" w:id="0">
    <w:p w14:paraId="2DC58F02" w14:textId="77777777" w:rsidR="00540070" w:rsidRDefault="00540070" w:rsidP="00ED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D0738" w14:textId="77777777" w:rsidR="00540070" w:rsidRDefault="00540070" w:rsidP="00ED456F">
      <w:pPr>
        <w:spacing w:after="0" w:line="240" w:lineRule="auto"/>
      </w:pPr>
      <w:r>
        <w:separator/>
      </w:r>
    </w:p>
  </w:footnote>
  <w:footnote w:type="continuationSeparator" w:id="0">
    <w:p w14:paraId="63039937" w14:textId="77777777" w:rsidR="00540070" w:rsidRDefault="00540070" w:rsidP="00ED45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Plant Cell Environment - modif&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00v2xezst9aaer0vk5xtxlsfattzpfwape&quot;&gt;EndNote_Library_JSan-Saved&lt;record-ids&gt;&lt;item&gt;730&lt;/item&gt;&lt;item&gt;945&lt;/item&gt;&lt;item&gt;1022&lt;/item&gt;&lt;item&gt;1049&lt;/item&gt;&lt;item&gt;1070&lt;/item&gt;&lt;item&gt;1071&lt;/item&gt;&lt;item&gt;1072&lt;/item&gt;&lt;item&gt;1075&lt;/item&gt;&lt;item&gt;1083&lt;/item&gt;&lt;item&gt;1084&lt;/item&gt;&lt;item&gt;1089&lt;/item&gt;&lt;/record-ids&gt;&lt;/item&gt;&lt;/Libraries&gt;"/>
  </w:docVars>
  <w:rsids>
    <w:rsidRoot w:val="00B93261"/>
    <w:rsid w:val="00001948"/>
    <w:rsid w:val="00023906"/>
    <w:rsid w:val="00030659"/>
    <w:rsid w:val="0007489F"/>
    <w:rsid w:val="00075DA8"/>
    <w:rsid w:val="000A0F86"/>
    <w:rsid w:val="000D5A17"/>
    <w:rsid w:val="00142F01"/>
    <w:rsid w:val="00152A3F"/>
    <w:rsid w:val="001E0F57"/>
    <w:rsid w:val="001F3616"/>
    <w:rsid w:val="0025659E"/>
    <w:rsid w:val="002B472E"/>
    <w:rsid w:val="002C1E4E"/>
    <w:rsid w:val="002F1A6A"/>
    <w:rsid w:val="002F5D1C"/>
    <w:rsid w:val="00301C5C"/>
    <w:rsid w:val="00333AF1"/>
    <w:rsid w:val="003534D6"/>
    <w:rsid w:val="00394419"/>
    <w:rsid w:val="003C7A9F"/>
    <w:rsid w:val="003D4AB7"/>
    <w:rsid w:val="00423917"/>
    <w:rsid w:val="004569FD"/>
    <w:rsid w:val="00540070"/>
    <w:rsid w:val="0056473E"/>
    <w:rsid w:val="005A2008"/>
    <w:rsid w:val="005A6A19"/>
    <w:rsid w:val="005B4518"/>
    <w:rsid w:val="00627639"/>
    <w:rsid w:val="006752FB"/>
    <w:rsid w:val="00685205"/>
    <w:rsid w:val="006C1BA7"/>
    <w:rsid w:val="006C214F"/>
    <w:rsid w:val="006F494F"/>
    <w:rsid w:val="007268B2"/>
    <w:rsid w:val="0076017C"/>
    <w:rsid w:val="00797AD5"/>
    <w:rsid w:val="007B10A8"/>
    <w:rsid w:val="007E1336"/>
    <w:rsid w:val="008065C3"/>
    <w:rsid w:val="00843A79"/>
    <w:rsid w:val="0086442D"/>
    <w:rsid w:val="00876777"/>
    <w:rsid w:val="00877109"/>
    <w:rsid w:val="008A778E"/>
    <w:rsid w:val="008B433F"/>
    <w:rsid w:val="009218AF"/>
    <w:rsid w:val="00943930"/>
    <w:rsid w:val="009644E8"/>
    <w:rsid w:val="00977350"/>
    <w:rsid w:val="009806BA"/>
    <w:rsid w:val="009C5344"/>
    <w:rsid w:val="00A13DFE"/>
    <w:rsid w:val="00A14E51"/>
    <w:rsid w:val="00A90B3A"/>
    <w:rsid w:val="00AB6C19"/>
    <w:rsid w:val="00AD2D27"/>
    <w:rsid w:val="00B0416C"/>
    <w:rsid w:val="00B24823"/>
    <w:rsid w:val="00B875F9"/>
    <w:rsid w:val="00B918E9"/>
    <w:rsid w:val="00B93261"/>
    <w:rsid w:val="00BC7665"/>
    <w:rsid w:val="00BF6900"/>
    <w:rsid w:val="00C2441E"/>
    <w:rsid w:val="00CC769C"/>
    <w:rsid w:val="00CD33D9"/>
    <w:rsid w:val="00CD7E30"/>
    <w:rsid w:val="00D44F73"/>
    <w:rsid w:val="00D5316A"/>
    <w:rsid w:val="00D82A1E"/>
    <w:rsid w:val="00D95512"/>
    <w:rsid w:val="00D95B0D"/>
    <w:rsid w:val="00DA2095"/>
    <w:rsid w:val="00DC1210"/>
    <w:rsid w:val="00E131D1"/>
    <w:rsid w:val="00E35A7A"/>
    <w:rsid w:val="00E77947"/>
    <w:rsid w:val="00EB6F57"/>
    <w:rsid w:val="00EC5B34"/>
    <w:rsid w:val="00ED456F"/>
    <w:rsid w:val="00EE57A3"/>
    <w:rsid w:val="00EE7598"/>
    <w:rsid w:val="00EE7B0F"/>
    <w:rsid w:val="00EF0B2F"/>
    <w:rsid w:val="00EF233B"/>
    <w:rsid w:val="00F37DC8"/>
    <w:rsid w:val="00FB0890"/>
    <w:rsid w:val="00FF5B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F0C9F"/>
  <w15:docId w15:val="{D817F335-D542-4D2F-B70F-D0D61CA8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E0F5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0F57"/>
    <w:rPr>
      <w:rFonts w:ascii="Tahoma" w:hAnsi="Tahoma" w:cs="Tahoma"/>
      <w:sz w:val="16"/>
      <w:szCs w:val="16"/>
      <w:lang w:val="en-US"/>
    </w:rPr>
  </w:style>
  <w:style w:type="paragraph" w:styleId="Zhlav">
    <w:name w:val="header"/>
    <w:basedOn w:val="Normln"/>
    <w:link w:val="ZhlavChar"/>
    <w:uiPriority w:val="99"/>
    <w:unhideWhenUsed/>
    <w:rsid w:val="00ED456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D456F"/>
    <w:rPr>
      <w:lang w:val="en-US"/>
    </w:rPr>
  </w:style>
  <w:style w:type="paragraph" w:styleId="Zpat">
    <w:name w:val="footer"/>
    <w:basedOn w:val="Normln"/>
    <w:link w:val="ZpatChar"/>
    <w:uiPriority w:val="99"/>
    <w:unhideWhenUsed/>
    <w:rsid w:val="00ED456F"/>
    <w:pPr>
      <w:tabs>
        <w:tab w:val="center" w:pos="4536"/>
        <w:tab w:val="right" w:pos="9072"/>
      </w:tabs>
      <w:spacing w:after="0" w:line="240" w:lineRule="auto"/>
    </w:pPr>
  </w:style>
  <w:style w:type="character" w:customStyle="1" w:styleId="ZpatChar">
    <w:name w:val="Zápatí Char"/>
    <w:basedOn w:val="Standardnpsmoodstavce"/>
    <w:link w:val="Zpat"/>
    <w:uiPriority w:val="99"/>
    <w:rsid w:val="00ED456F"/>
    <w:rPr>
      <w:lang w:val="en-US"/>
    </w:rPr>
  </w:style>
  <w:style w:type="character" w:styleId="Odkaznakoment">
    <w:name w:val="annotation reference"/>
    <w:basedOn w:val="Standardnpsmoodstavce"/>
    <w:uiPriority w:val="99"/>
    <w:semiHidden/>
    <w:unhideWhenUsed/>
    <w:rsid w:val="00AD2D27"/>
    <w:rPr>
      <w:sz w:val="16"/>
      <w:szCs w:val="16"/>
    </w:rPr>
  </w:style>
  <w:style w:type="paragraph" w:styleId="Textkomente">
    <w:name w:val="annotation text"/>
    <w:basedOn w:val="Normln"/>
    <w:link w:val="TextkomenteChar"/>
    <w:uiPriority w:val="99"/>
    <w:semiHidden/>
    <w:unhideWhenUsed/>
    <w:rsid w:val="00AD2D27"/>
    <w:pPr>
      <w:spacing w:line="240" w:lineRule="auto"/>
    </w:pPr>
    <w:rPr>
      <w:sz w:val="20"/>
      <w:szCs w:val="20"/>
    </w:rPr>
  </w:style>
  <w:style w:type="character" w:customStyle="1" w:styleId="TextkomenteChar">
    <w:name w:val="Text komentáře Char"/>
    <w:basedOn w:val="Standardnpsmoodstavce"/>
    <w:link w:val="Textkomente"/>
    <w:uiPriority w:val="99"/>
    <w:semiHidden/>
    <w:rsid w:val="00AD2D27"/>
    <w:rPr>
      <w:sz w:val="20"/>
      <w:szCs w:val="20"/>
      <w:lang w:val="en-US"/>
    </w:rPr>
  </w:style>
  <w:style w:type="paragraph" w:styleId="Pedmtkomente">
    <w:name w:val="annotation subject"/>
    <w:basedOn w:val="Textkomente"/>
    <w:next w:val="Textkomente"/>
    <w:link w:val="PedmtkomenteChar"/>
    <w:uiPriority w:val="99"/>
    <w:semiHidden/>
    <w:unhideWhenUsed/>
    <w:rsid w:val="00AD2D27"/>
    <w:rPr>
      <w:b/>
      <w:bCs/>
    </w:rPr>
  </w:style>
  <w:style w:type="character" w:customStyle="1" w:styleId="PedmtkomenteChar">
    <w:name w:val="Předmět komentáře Char"/>
    <w:basedOn w:val="TextkomenteChar"/>
    <w:link w:val="Pedmtkomente"/>
    <w:uiPriority w:val="99"/>
    <w:semiHidden/>
    <w:rsid w:val="00AD2D27"/>
    <w:rPr>
      <w:b/>
      <w:bCs/>
      <w:sz w:val="20"/>
      <w:szCs w:val="20"/>
      <w:lang w:val="en-US"/>
    </w:rPr>
  </w:style>
  <w:style w:type="paragraph" w:customStyle="1" w:styleId="EndNoteBibliographyTitle">
    <w:name w:val="EndNote Bibliography Title"/>
    <w:basedOn w:val="Normln"/>
    <w:link w:val="EndNoteBibliographyTitleChar"/>
    <w:rsid w:val="00CC769C"/>
    <w:pPr>
      <w:spacing w:after="0"/>
      <w:jc w:val="center"/>
    </w:pPr>
    <w:rPr>
      <w:rFonts w:ascii="Calibri" w:hAnsi="Calibri" w:cs="Calibri"/>
      <w:noProof/>
    </w:rPr>
  </w:style>
  <w:style w:type="character" w:customStyle="1" w:styleId="EndNoteBibliographyTitleChar">
    <w:name w:val="EndNote Bibliography Title Char"/>
    <w:basedOn w:val="Standardnpsmoodstavce"/>
    <w:link w:val="EndNoteBibliographyTitle"/>
    <w:rsid w:val="00CC769C"/>
    <w:rPr>
      <w:rFonts w:ascii="Calibri" w:hAnsi="Calibri" w:cs="Calibri"/>
      <w:noProof/>
      <w:lang w:val="en-US"/>
    </w:rPr>
  </w:style>
  <w:style w:type="paragraph" w:customStyle="1" w:styleId="EndNoteBibliography">
    <w:name w:val="EndNote Bibliography"/>
    <w:basedOn w:val="Normln"/>
    <w:link w:val="EndNoteBibliographyChar"/>
    <w:rsid w:val="00CC769C"/>
    <w:pPr>
      <w:spacing w:line="240" w:lineRule="auto"/>
    </w:pPr>
    <w:rPr>
      <w:rFonts w:ascii="Calibri" w:hAnsi="Calibri" w:cs="Calibri"/>
      <w:noProof/>
    </w:rPr>
  </w:style>
  <w:style w:type="character" w:customStyle="1" w:styleId="EndNoteBibliographyChar">
    <w:name w:val="EndNote Bibliography Char"/>
    <w:basedOn w:val="Standardnpsmoodstavce"/>
    <w:link w:val="EndNoteBibliography"/>
    <w:rsid w:val="00CC769C"/>
    <w:rPr>
      <w:rFonts w:ascii="Calibri" w:hAnsi="Calibri" w:cs="Calibri"/>
      <w:noProof/>
      <w:lang w:val="en-US"/>
    </w:rPr>
  </w:style>
  <w:style w:type="character" w:styleId="Hypertextovodkaz">
    <w:name w:val="Hyperlink"/>
    <w:basedOn w:val="Standardnpsmoodstavce"/>
    <w:uiPriority w:val="99"/>
    <w:unhideWhenUsed/>
    <w:rsid w:val="00B875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861984">
      <w:bodyDiv w:val="1"/>
      <w:marLeft w:val="0"/>
      <w:marRight w:val="0"/>
      <w:marTop w:val="0"/>
      <w:marBottom w:val="0"/>
      <w:divBdr>
        <w:top w:val="none" w:sz="0" w:space="0" w:color="auto"/>
        <w:left w:val="none" w:sz="0" w:space="0" w:color="auto"/>
        <w:bottom w:val="none" w:sz="0" w:space="0" w:color="auto"/>
        <w:right w:val="none" w:sz="0" w:space="0" w:color="auto"/>
      </w:divBdr>
      <w:divsChild>
        <w:div w:id="905844010">
          <w:marLeft w:val="0"/>
          <w:marRight w:val="0"/>
          <w:marTop w:val="0"/>
          <w:marBottom w:val="0"/>
          <w:divBdr>
            <w:top w:val="none" w:sz="0" w:space="0" w:color="auto"/>
            <w:left w:val="none" w:sz="0" w:space="0" w:color="auto"/>
            <w:bottom w:val="none" w:sz="0" w:space="0" w:color="auto"/>
            <w:right w:val="none" w:sz="0" w:space="0" w:color="auto"/>
          </w:divBdr>
          <w:divsChild>
            <w:div w:id="806162598">
              <w:marLeft w:val="0"/>
              <w:marRight w:val="0"/>
              <w:marTop w:val="0"/>
              <w:marBottom w:val="0"/>
              <w:divBdr>
                <w:top w:val="none" w:sz="0" w:space="0" w:color="auto"/>
                <w:left w:val="none" w:sz="0" w:space="0" w:color="auto"/>
                <w:bottom w:val="none" w:sz="0" w:space="0" w:color="auto"/>
                <w:right w:val="none" w:sz="0" w:space="0" w:color="auto"/>
              </w:divBdr>
              <w:divsChild>
                <w:div w:id="1947694893">
                  <w:marLeft w:val="0"/>
                  <w:marRight w:val="0"/>
                  <w:marTop w:val="0"/>
                  <w:marBottom w:val="0"/>
                  <w:divBdr>
                    <w:top w:val="none" w:sz="0" w:space="0" w:color="auto"/>
                    <w:left w:val="none" w:sz="0" w:space="0" w:color="auto"/>
                    <w:bottom w:val="none" w:sz="0" w:space="0" w:color="auto"/>
                    <w:right w:val="none" w:sz="0" w:space="0" w:color="auto"/>
                  </w:divBdr>
                  <w:divsChild>
                    <w:div w:id="15225541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sChild>
                            <w:div w:id="510343261">
                              <w:marLeft w:val="0"/>
                              <w:marRight w:val="0"/>
                              <w:marTop w:val="0"/>
                              <w:marBottom w:val="0"/>
                              <w:divBdr>
                                <w:top w:val="none" w:sz="0" w:space="0" w:color="auto"/>
                                <w:left w:val="none" w:sz="0" w:space="0" w:color="auto"/>
                                <w:bottom w:val="none" w:sz="0" w:space="0" w:color="auto"/>
                                <w:right w:val="none" w:sz="0" w:space="0" w:color="auto"/>
                              </w:divBdr>
                              <w:divsChild>
                                <w:div w:id="1175997496">
                                  <w:marLeft w:val="0"/>
                                  <w:marRight w:val="0"/>
                                  <w:marTop w:val="0"/>
                                  <w:marBottom w:val="0"/>
                                  <w:divBdr>
                                    <w:top w:val="none" w:sz="0" w:space="0" w:color="auto"/>
                                    <w:left w:val="none" w:sz="0" w:space="0" w:color="auto"/>
                                    <w:bottom w:val="none" w:sz="0" w:space="0" w:color="auto"/>
                                    <w:right w:val="none" w:sz="0" w:space="0" w:color="auto"/>
                                  </w:divBdr>
                                  <w:divsChild>
                                    <w:div w:id="1385637158">
                                      <w:marLeft w:val="0"/>
                                      <w:marRight w:val="0"/>
                                      <w:marTop w:val="0"/>
                                      <w:marBottom w:val="0"/>
                                      <w:divBdr>
                                        <w:top w:val="none" w:sz="0" w:space="0" w:color="auto"/>
                                        <w:left w:val="none" w:sz="0" w:space="0" w:color="auto"/>
                                        <w:bottom w:val="none" w:sz="0" w:space="0" w:color="auto"/>
                                        <w:right w:val="none" w:sz="0" w:space="0" w:color="auto"/>
                                      </w:divBdr>
                                      <w:divsChild>
                                        <w:div w:id="10067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Relationship Id="rId18" Type="http://schemas.openxmlformats.org/officeDocument/2006/relationships/hyperlink" Target="https://doi.org/10.1093/treephys/25.2.12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yperlink" Target="https://doi.org/10.1111/j.1365-3040.2006.01609.x" TargetMode="External"/><Relationship Id="rId2" Type="http://schemas.openxmlformats.org/officeDocument/2006/relationships/styles" Target="styles.xml"/><Relationship Id="rId16" Type="http://schemas.openxmlformats.org/officeDocument/2006/relationships/hyperlink" Target="https://doi.org/10.1046/j.0016-8025.2002.00931.x" TargetMode="External"/><Relationship Id="rId20" Type="http://schemas.openxmlformats.org/officeDocument/2006/relationships/hyperlink" Target="https://doi.org/10.1007/s00442-002-0881-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doi.org/10.1002/rcm.1912" TargetMode="External"/><Relationship Id="rId10" Type="http://schemas.openxmlformats.org/officeDocument/2006/relationships/image" Target="media/image4.tiff"/><Relationship Id="rId19" Type="http://schemas.openxmlformats.org/officeDocument/2006/relationships/hyperlink" Target="https://doi.org/10.1111/j.0016-8025.2003.01159.x"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56B2-9267-4FBD-B768-86DB1B8A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1572</Words>
  <Characters>9281</Characters>
  <Application>Microsoft Office Word</Application>
  <DocSecurity>0</DocSecurity>
  <Lines>77</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Kubásek Jiří RNDr. Ph.D.</dc:creator>
  <cp:lastModifiedBy>Spoustova Petra UEB</cp:lastModifiedBy>
  <cp:revision>5</cp:revision>
  <dcterms:created xsi:type="dcterms:W3CDTF">2025-03-06T09:48:00Z</dcterms:created>
  <dcterms:modified xsi:type="dcterms:W3CDTF">2025-03-06T11:19:00Z</dcterms:modified>
</cp:coreProperties>
</file>